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FA148B">
      <w:pPr>
        <w:jc w:val="right"/>
        <w:rPr>
          <w:rFonts w:ascii="黑体" w:eastAsia="黑体"/>
          <w:color w:val="auto"/>
          <w:szCs w:val="21"/>
          <w:highlight w:val="none"/>
        </w:rPr>
      </w:pPr>
    </w:p>
    <w:p w14:paraId="27F52CA5">
      <w:pPr>
        <w:pStyle w:val="42"/>
        <w:snapToGrid/>
        <w:ind w:firstLine="0" w:firstLineChars="0"/>
        <w:rPr>
          <w:color w:val="auto"/>
          <w:highlight w:val="none"/>
        </w:rPr>
      </w:pPr>
    </w:p>
    <w:p w14:paraId="64328C31">
      <w:pPr>
        <w:snapToGrid/>
        <w:rPr>
          <w:color w:val="auto"/>
          <w:highlight w:val="none"/>
        </w:rPr>
      </w:pPr>
    </w:p>
    <w:p w14:paraId="145D477A">
      <w:pPr>
        <w:snapToGrid/>
        <w:rPr>
          <w:color w:val="auto"/>
          <w:highlight w:val="none"/>
        </w:rPr>
      </w:pPr>
    </w:p>
    <w:p w14:paraId="3155B25A">
      <w:pPr>
        <w:snapToGrid/>
        <w:rPr>
          <w:color w:val="auto"/>
          <w:highlight w:val="none"/>
        </w:rPr>
      </w:pPr>
    </w:p>
    <w:p w14:paraId="0C5C1AF3">
      <w:pPr>
        <w:ind w:right="-28"/>
        <w:jc w:val="center"/>
        <w:textAlignment w:val="bottom"/>
        <w:rPr>
          <w:rFonts w:ascii="黑体" w:hAnsi="黑体" w:eastAsia="黑体" w:cs="黑体"/>
          <w:bCs/>
          <w:color w:val="auto"/>
          <w:spacing w:val="57"/>
          <w:sz w:val="96"/>
          <w:szCs w:val="96"/>
          <w:highlight w:val="none"/>
        </w:rPr>
      </w:pPr>
      <w:r>
        <w:rPr>
          <w:rFonts w:hint="eastAsia" w:ascii="黑体" w:hAnsi="黑体" w:eastAsia="黑体" w:cs="黑体"/>
          <w:bCs/>
          <w:color w:val="auto"/>
          <w:spacing w:val="57"/>
          <w:sz w:val="96"/>
          <w:szCs w:val="96"/>
          <w:highlight w:val="none"/>
        </w:rPr>
        <w:t>公开采购文件</w:t>
      </w:r>
    </w:p>
    <w:p w14:paraId="22B01F47">
      <w:pPr>
        <w:rPr>
          <w:color w:val="auto"/>
          <w:highlight w:val="none"/>
        </w:rPr>
      </w:pPr>
    </w:p>
    <w:p w14:paraId="40A8CEA3">
      <w:pPr>
        <w:pStyle w:val="2"/>
        <w:rPr>
          <w:color w:val="auto"/>
          <w:highlight w:val="none"/>
        </w:rPr>
      </w:pPr>
    </w:p>
    <w:tbl>
      <w:tblPr>
        <w:tblStyle w:val="33"/>
        <w:tblW w:w="8816" w:type="dxa"/>
        <w:tblInd w:w="-29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44"/>
        <w:gridCol w:w="6272"/>
      </w:tblGrid>
      <w:tr w14:paraId="2FB3F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7" w:hRule="atLeast"/>
        </w:trPr>
        <w:tc>
          <w:tcPr>
            <w:tcW w:w="2544" w:type="dxa"/>
            <w:vAlign w:val="center"/>
          </w:tcPr>
          <w:p w14:paraId="272CE61B">
            <w:pPr>
              <w:spacing w:before="200"/>
              <w:jc w:val="both"/>
              <w:rPr>
                <w:rFonts w:ascii="黑体" w:hAnsi="黑体" w:eastAsia="黑体" w:cs="黑体"/>
                <w:bCs/>
                <w:color w:val="auto"/>
                <w:sz w:val="32"/>
                <w:szCs w:val="24"/>
                <w:highlight w:val="none"/>
              </w:rPr>
            </w:pPr>
            <w:r>
              <w:rPr>
                <w:rFonts w:hint="eastAsia" w:ascii="黑体" w:hAnsi="黑体" w:eastAsia="黑体" w:cs="黑体"/>
                <w:bCs/>
                <w:color w:val="auto"/>
                <w:sz w:val="32"/>
                <w:szCs w:val="24"/>
                <w:highlight w:val="none"/>
              </w:rPr>
              <w:t>项目名称：</w:t>
            </w:r>
          </w:p>
        </w:tc>
        <w:tc>
          <w:tcPr>
            <w:tcW w:w="6272" w:type="dxa"/>
            <w:vAlign w:val="center"/>
          </w:tcPr>
          <w:p w14:paraId="6B57E55E">
            <w:pPr>
              <w:spacing w:before="200"/>
              <w:jc w:val="both"/>
              <w:rPr>
                <w:rFonts w:hint="eastAsia" w:ascii="黑体" w:hAnsi="黑体" w:eastAsia="黑体" w:cs="黑体"/>
                <w:bCs/>
                <w:color w:val="000000" w:themeColor="text1"/>
                <w:sz w:val="32"/>
                <w:szCs w:val="24"/>
                <w:u w:val="single"/>
                <w:lang w:val="en-US" w:eastAsia="zh-CN" w:bidi="ar-SA"/>
                <w14:textFill>
                  <w14:solidFill>
                    <w14:schemeClr w14:val="tx1"/>
                  </w14:solidFill>
                </w14:textFill>
              </w:rPr>
            </w:pPr>
            <w:r>
              <w:rPr>
                <w:rFonts w:hint="eastAsia" w:ascii="黑体" w:hAnsi="黑体" w:eastAsia="黑体" w:cs="黑体"/>
                <w:bCs/>
                <w:color w:val="auto"/>
                <w:sz w:val="32"/>
                <w:szCs w:val="24"/>
                <w:highlight w:val="none"/>
                <w:lang w:eastAsia="zh-CN"/>
              </w:rPr>
              <w:t>麻涌餐厨项目预处理系统提效工程环保技术服务项目（重新采购）</w:t>
            </w:r>
          </w:p>
        </w:tc>
      </w:tr>
      <w:tr w14:paraId="20DD6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2544" w:type="dxa"/>
            <w:vAlign w:val="center"/>
          </w:tcPr>
          <w:p w14:paraId="74807951">
            <w:pPr>
              <w:spacing w:before="200"/>
              <w:jc w:val="both"/>
              <w:rPr>
                <w:rFonts w:ascii="黑体" w:hAnsi="黑体" w:eastAsia="黑体" w:cs="黑体"/>
                <w:bCs/>
                <w:color w:val="auto"/>
                <w:sz w:val="32"/>
                <w:szCs w:val="24"/>
                <w:highlight w:val="none"/>
              </w:rPr>
            </w:pPr>
            <w:r>
              <w:rPr>
                <w:rFonts w:hint="eastAsia" w:ascii="黑体" w:hAnsi="黑体" w:eastAsia="黑体" w:cs="黑体"/>
                <w:bCs/>
                <w:color w:val="auto"/>
                <w:sz w:val="32"/>
                <w:szCs w:val="24"/>
                <w:highlight w:val="none"/>
              </w:rPr>
              <w:t>项目采购编号：</w:t>
            </w:r>
          </w:p>
        </w:tc>
        <w:tc>
          <w:tcPr>
            <w:tcW w:w="6272" w:type="dxa"/>
            <w:vAlign w:val="center"/>
          </w:tcPr>
          <w:p w14:paraId="45BF75CB">
            <w:pPr>
              <w:spacing w:before="200"/>
              <w:jc w:val="both"/>
              <w:rPr>
                <w:rFonts w:hint="eastAsia" w:ascii="黑体" w:hAnsi="黑体" w:eastAsia="黑体" w:cs="黑体"/>
                <w:bCs/>
                <w:color w:val="auto"/>
                <w:sz w:val="32"/>
                <w:szCs w:val="24"/>
                <w:highlight w:val="none"/>
                <w:lang w:eastAsia="zh-CN"/>
              </w:rPr>
            </w:pPr>
            <w:r>
              <w:rPr>
                <w:rFonts w:hint="eastAsia" w:ascii="黑体" w:hAnsi="黑体" w:eastAsia="黑体" w:cs="黑体"/>
                <w:bCs/>
                <w:color w:val="auto"/>
                <w:sz w:val="32"/>
                <w:szCs w:val="24"/>
                <w:highlight w:val="none"/>
                <w:lang w:eastAsia="zh-CN"/>
              </w:rPr>
              <w:t>DSE-GK-2026-002</w:t>
            </w:r>
          </w:p>
        </w:tc>
      </w:tr>
      <w:tr w14:paraId="1D866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9" w:hRule="atLeast"/>
        </w:trPr>
        <w:tc>
          <w:tcPr>
            <w:tcW w:w="2544" w:type="dxa"/>
            <w:vAlign w:val="center"/>
          </w:tcPr>
          <w:p w14:paraId="197900D5">
            <w:pPr>
              <w:spacing w:before="200"/>
              <w:jc w:val="both"/>
              <w:rPr>
                <w:rFonts w:ascii="黑体" w:hAnsi="黑体" w:eastAsia="黑体" w:cs="黑体"/>
                <w:bCs/>
                <w:color w:val="auto"/>
                <w:sz w:val="32"/>
                <w:szCs w:val="24"/>
                <w:highlight w:val="none"/>
              </w:rPr>
            </w:pPr>
            <w:r>
              <w:rPr>
                <w:rFonts w:hint="eastAsia" w:ascii="黑体" w:hAnsi="黑体" w:eastAsia="黑体" w:cs="黑体"/>
                <w:bCs/>
                <w:color w:val="auto"/>
                <w:sz w:val="32"/>
                <w:szCs w:val="24"/>
                <w:highlight w:val="none"/>
              </w:rPr>
              <w:t>采购人：</w:t>
            </w:r>
          </w:p>
        </w:tc>
        <w:tc>
          <w:tcPr>
            <w:tcW w:w="6272" w:type="dxa"/>
            <w:vAlign w:val="center"/>
          </w:tcPr>
          <w:p w14:paraId="38816408">
            <w:pPr>
              <w:spacing w:before="200"/>
              <w:jc w:val="both"/>
              <w:rPr>
                <w:rFonts w:hint="eastAsia" w:ascii="黑体" w:hAnsi="黑体" w:eastAsia="黑体" w:cs="黑体"/>
                <w:bCs/>
                <w:color w:val="auto"/>
                <w:sz w:val="32"/>
                <w:szCs w:val="24"/>
                <w:highlight w:val="none"/>
                <w:lang w:eastAsia="zh-CN"/>
              </w:rPr>
            </w:pPr>
            <w:r>
              <w:rPr>
                <w:rFonts w:hint="eastAsia" w:ascii="黑体" w:hAnsi="黑体" w:eastAsia="黑体" w:cs="黑体"/>
                <w:bCs/>
                <w:color w:val="auto"/>
                <w:sz w:val="32"/>
                <w:szCs w:val="24"/>
                <w:highlight w:val="none"/>
                <w:lang w:eastAsia="zh-CN"/>
              </w:rPr>
              <w:t>广东东实环境股份有限公司</w:t>
            </w:r>
          </w:p>
        </w:tc>
      </w:tr>
      <w:tr w14:paraId="4DA6B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9" w:hRule="atLeast"/>
        </w:trPr>
        <w:tc>
          <w:tcPr>
            <w:tcW w:w="2544" w:type="dxa"/>
            <w:vAlign w:val="center"/>
          </w:tcPr>
          <w:p w14:paraId="4A1CAB55">
            <w:pPr>
              <w:spacing w:before="200"/>
              <w:jc w:val="both"/>
              <w:rPr>
                <w:rFonts w:ascii="黑体" w:hAnsi="黑体" w:eastAsia="黑体" w:cs="黑体"/>
                <w:bCs/>
                <w:color w:val="auto"/>
                <w:sz w:val="32"/>
                <w:szCs w:val="24"/>
                <w:highlight w:val="none"/>
              </w:rPr>
            </w:pPr>
            <w:r>
              <w:rPr>
                <w:rFonts w:hint="eastAsia" w:ascii="黑体" w:hAnsi="黑体" w:eastAsia="黑体" w:cs="黑体"/>
                <w:bCs/>
                <w:color w:val="auto"/>
                <w:sz w:val="32"/>
                <w:szCs w:val="24"/>
                <w:highlight w:val="none"/>
              </w:rPr>
              <w:t>采购代理：</w:t>
            </w:r>
          </w:p>
        </w:tc>
        <w:tc>
          <w:tcPr>
            <w:tcW w:w="6272" w:type="dxa"/>
            <w:vAlign w:val="center"/>
          </w:tcPr>
          <w:p w14:paraId="7D751207">
            <w:pPr>
              <w:spacing w:before="200"/>
              <w:jc w:val="both"/>
              <w:rPr>
                <w:rFonts w:hint="eastAsia" w:ascii="黑体" w:hAnsi="黑体" w:eastAsia="黑体" w:cs="黑体"/>
                <w:bCs/>
                <w:color w:val="auto"/>
                <w:sz w:val="32"/>
                <w:szCs w:val="24"/>
                <w:highlight w:val="none"/>
                <w:lang w:eastAsia="zh-CN"/>
              </w:rPr>
            </w:pPr>
            <w:r>
              <w:rPr>
                <w:rFonts w:hint="eastAsia" w:ascii="黑体" w:hAnsi="黑体" w:eastAsia="黑体" w:cs="黑体"/>
                <w:bCs/>
                <w:color w:val="auto"/>
                <w:sz w:val="32"/>
                <w:szCs w:val="24"/>
                <w:highlight w:val="none"/>
                <w:u w:val="none"/>
                <w:lang w:eastAsia="zh-CN"/>
              </w:rPr>
              <w:t>广州宏达工程顾问集团有限公司</w:t>
            </w:r>
          </w:p>
        </w:tc>
      </w:tr>
    </w:tbl>
    <w:p w14:paraId="16288B37">
      <w:pPr>
        <w:jc w:val="center"/>
        <w:rPr>
          <w:rFonts w:ascii="黑体" w:eastAsia="黑体"/>
          <w:color w:val="auto"/>
          <w:szCs w:val="21"/>
          <w:highlight w:val="none"/>
        </w:rPr>
      </w:pPr>
    </w:p>
    <w:p w14:paraId="384A3D13">
      <w:pPr>
        <w:jc w:val="center"/>
        <w:rPr>
          <w:rFonts w:ascii="黑体" w:eastAsia="黑体"/>
          <w:color w:val="auto"/>
          <w:szCs w:val="21"/>
          <w:highlight w:val="none"/>
        </w:rPr>
      </w:pPr>
    </w:p>
    <w:p w14:paraId="63295B87">
      <w:pPr>
        <w:jc w:val="center"/>
        <w:rPr>
          <w:rFonts w:ascii="黑体" w:eastAsia="黑体"/>
          <w:color w:val="auto"/>
          <w:szCs w:val="21"/>
          <w:highlight w:val="none"/>
        </w:rPr>
      </w:pPr>
    </w:p>
    <w:p w14:paraId="0DC4C19E">
      <w:pPr>
        <w:pStyle w:val="42"/>
        <w:ind w:firstLine="400"/>
        <w:rPr>
          <w:color w:val="auto"/>
          <w:highlight w:val="none"/>
        </w:rPr>
      </w:pPr>
    </w:p>
    <w:p w14:paraId="243BED0D">
      <w:pPr>
        <w:jc w:val="center"/>
        <w:rPr>
          <w:rFonts w:ascii="黑体" w:eastAsia="黑体"/>
          <w:color w:val="auto"/>
          <w:szCs w:val="21"/>
          <w:highlight w:val="none"/>
        </w:rPr>
      </w:pPr>
    </w:p>
    <w:p w14:paraId="33326186">
      <w:pPr>
        <w:jc w:val="center"/>
        <w:rPr>
          <w:rFonts w:ascii="黑体" w:eastAsia="黑体"/>
          <w:color w:val="auto"/>
          <w:szCs w:val="21"/>
          <w:highlight w:val="none"/>
        </w:rPr>
      </w:pPr>
    </w:p>
    <w:p w14:paraId="08BA7EFC">
      <w:pPr>
        <w:spacing w:before="200"/>
        <w:jc w:val="center"/>
        <w:rPr>
          <w:rFonts w:ascii="黑体" w:hAnsi="黑体" w:eastAsia="黑体" w:cs="黑体"/>
          <w:bCs/>
          <w:color w:val="auto"/>
          <w:sz w:val="32"/>
          <w:szCs w:val="24"/>
          <w:highlight w:val="none"/>
        </w:rPr>
      </w:pPr>
      <w:r>
        <w:rPr>
          <w:rFonts w:hint="eastAsia" w:ascii="黑体" w:hAnsi="黑体" w:eastAsia="黑体" w:cs="黑体"/>
          <w:bCs/>
          <w:color w:val="auto"/>
          <w:sz w:val="32"/>
          <w:szCs w:val="24"/>
          <w:highlight w:val="none"/>
          <w:lang w:eastAsia="zh-CN"/>
        </w:rPr>
        <w:t>202</w:t>
      </w:r>
      <w:r>
        <w:rPr>
          <w:rFonts w:hint="eastAsia" w:ascii="黑体" w:hAnsi="黑体" w:eastAsia="黑体" w:cs="黑体"/>
          <w:bCs/>
          <w:color w:val="auto"/>
          <w:sz w:val="32"/>
          <w:szCs w:val="24"/>
          <w:highlight w:val="none"/>
          <w:lang w:val="en-US" w:eastAsia="zh-CN"/>
        </w:rPr>
        <w:t>6</w:t>
      </w:r>
      <w:r>
        <w:rPr>
          <w:rFonts w:hint="eastAsia" w:ascii="黑体" w:hAnsi="黑体" w:eastAsia="黑体" w:cs="黑体"/>
          <w:bCs/>
          <w:color w:val="auto"/>
          <w:sz w:val="32"/>
          <w:szCs w:val="24"/>
          <w:highlight w:val="none"/>
        </w:rPr>
        <w:t>年</w:t>
      </w:r>
      <w:r>
        <w:rPr>
          <w:rFonts w:hint="eastAsia" w:ascii="黑体" w:hAnsi="黑体" w:eastAsia="黑体" w:cs="黑体"/>
          <w:bCs/>
          <w:color w:val="auto"/>
          <w:sz w:val="32"/>
          <w:szCs w:val="24"/>
          <w:highlight w:val="none"/>
          <w:lang w:val="en-US" w:eastAsia="zh-CN"/>
        </w:rPr>
        <w:t>10</w:t>
      </w:r>
      <w:r>
        <w:rPr>
          <w:rFonts w:hint="eastAsia" w:ascii="黑体" w:hAnsi="黑体" w:eastAsia="黑体" w:cs="黑体"/>
          <w:bCs/>
          <w:color w:val="auto"/>
          <w:sz w:val="32"/>
          <w:szCs w:val="24"/>
          <w:highlight w:val="none"/>
        </w:rPr>
        <w:t>月</w:t>
      </w:r>
    </w:p>
    <w:p w14:paraId="42DD01C5">
      <w:pPr>
        <w:rPr>
          <w:color w:val="auto"/>
          <w:highlight w:val="none"/>
        </w:rPr>
        <w:sectPr>
          <w:headerReference r:id="rId7" w:type="first"/>
          <w:footerReference r:id="rId9" w:type="first"/>
          <w:headerReference r:id="rId5" w:type="default"/>
          <w:headerReference r:id="rId6" w:type="even"/>
          <w:footerReference r:id="rId8" w:type="even"/>
          <w:pgSz w:w="11906" w:h="16838"/>
          <w:pgMar w:top="1440" w:right="1800" w:bottom="1440" w:left="1800" w:header="708" w:footer="708" w:gutter="0"/>
          <w:pgNumType w:fmt="decimal" w:start="1"/>
          <w:cols w:space="708" w:num="1"/>
          <w:titlePg/>
          <w:docGrid w:type="lines" w:linePitch="360" w:charSpace="0"/>
        </w:sectPr>
      </w:pPr>
    </w:p>
    <w:p w14:paraId="40C4F530">
      <w:pPr>
        <w:pStyle w:val="25"/>
        <w:ind w:left="0" w:leftChars="0"/>
        <w:rPr>
          <w:b/>
          <w:bCs/>
          <w:color w:val="auto"/>
          <w:sz w:val="40"/>
          <w:szCs w:val="40"/>
          <w:highlight w:val="none"/>
        </w:rPr>
      </w:pPr>
      <w:r>
        <w:rPr>
          <w:rFonts w:hint="eastAsia"/>
          <w:b/>
          <w:bCs/>
          <w:color w:val="auto"/>
          <w:sz w:val="40"/>
          <w:szCs w:val="40"/>
          <w:highlight w:val="none"/>
        </w:rPr>
        <w:t>目录</w:t>
      </w:r>
    </w:p>
    <w:p w14:paraId="66BBE1E1">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TOC \o "1-4" \h \z \u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HYPERLINK \l _Toc8724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第一部分</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投标邀请</w:t>
      </w:r>
      <w:r>
        <w:rPr>
          <w:rFonts w:hint="eastAsia" w:asciiTheme="minorEastAsia" w:hAnsiTheme="minorEastAsia" w:eastAsiaTheme="minorEastAsia" w:cstheme="minorEastAsia"/>
          <w:color w:val="auto"/>
          <w:sz w:val="21"/>
          <w:szCs w:val="21"/>
          <w:highlight w:val="none"/>
        </w:rPr>
        <w:tab/>
      </w: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PAGEREF _Toc8724 \h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rPr>
        <w:fldChar w:fldCharType="end"/>
      </w:r>
      <w:r>
        <w:rPr>
          <w:rFonts w:hint="eastAsia" w:asciiTheme="minorEastAsia" w:hAnsiTheme="minorEastAsia" w:eastAsiaTheme="minorEastAsia" w:cstheme="minorEastAsia"/>
          <w:color w:val="auto"/>
          <w:sz w:val="21"/>
          <w:szCs w:val="21"/>
          <w:highlight w:val="none"/>
        </w:rPr>
        <w:fldChar w:fldCharType="end"/>
      </w:r>
    </w:p>
    <w:p w14:paraId="5ACE80B9">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_Toc23262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lang w:val="en-US"/>
        </w:rPr>
        <w:t>投标邀请书</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_Toc23262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C75C12E">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HYPERLINK \l _Toc25011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第二部分</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相关资料表格</w:t>
      </w:r>
      <w:r>
        <w:rPr>
          <w:rFonts w:hint="eastAsia" w:asciiTheme="minorEastAsia" w:hAnsiTheme="minorEastAsia" w:eastAsiaTheme="minorEastAsia" w:cstheme="minorEastAsia"/>
          <w:color w:val="auto"/>
          <w:sz w:val="21"/>
          <w:szCs w:val="21"/>
          <w:highlight w:val="none"/>
        </w:rPr>
        <w:tab/>
      </w: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PAGEREF _Toc25011 \h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4</w:t>
      </w:r>
      <w:r>
        <w:rPr>
          <w:rFonts w:hint="eastAsia" w:asciiTheme="minorEastAsia" w:hAnsiTheme="minorEastAsia" w:eastAsiaTheme="minorEastAsia" w:cstheme="minorEastAsia"/>
          <w:color w:val="auto"/>
          <w:sz w:val="21"/>
          <w:szCs w:val="21"/>
          <w:highlight w:val="none"/>
        </w:rPr>
        <w:fldChar w:fldCharType="end"/>
      </w:r>
      <w:r>
        <w:rPr>
          <w:rFonts w:hint="eastAsia" w:asciiTheme="minorEastAsia" w:hAnsiTheme="minorEastAsia" w:eastAsiaTheme="minorEastAsia" w:cstheme="minorEastAsia"/>
          <w:color w:val="auto"/>
          <w:sz w:val="21"/>
          <w:szCs w:val="21"/>
          <w:highlight w:val="none"/>
        </w:rPr>
        <w:fldChar w:fldCharType="end"/>
      </w:r>
    </w:p>
    <w:p w14:paraId="1A0F94D2">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_Toc2441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附表一：投标资料表</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_Toc2441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4</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2D4C50E">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_Toc11574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附表二：商务技术评分及价格权重表（满分100分）</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_Toc11574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9</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112286B">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HYPERLINK \l _Toc16407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第三部分</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用户需求书</w:t>
      </w:r>
      <w:r>
        <w:rPr>
          <w:rFonts w:hint="eastAsia" w:asciiTheme="minorEastAsia" w:hAnsiTheme="minorEastAsia" w:eastAsiaTheme="minorEastAsia" w:cstheme="minorEastAsia"/>
          <w:color w:val="auto"/>
          <w:sz w:val="21"/>
          <w:szCs w:val="21"/>
          <w:highlight w:val="none"/>
        </w:rPr>
        <w:tab/>
      </w: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PAGEREF _Toc16407 \h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14</w:t>
      </w:r>
      <w:r>
        <w:rPr>
          <w:rFonts w:hint="eastAsia" w:asciiTheme="minorEastAsia" w:hAnsiTheme="minorEastAsia" w:eastAsiaTheme="minorEastAsia" w:cstheme="minorEastAsia"/>
          <w:color w:val="auto"/>
          <w:sz w:val="21"/>
          <w:szCs w:val="21"/>
          <w:highlight w:val="none"/>
        </w:rPr>
        <w:fldChar w:fldCharType="end"/>
      </w:r>
      <w:r>
        <w:rPr>
          <w:rFonts w:hint="eastAsia" w:asciiTheme="minorEastAsia" w:hAnsiTheme="minorEastAsia" w:eastAsiaTheme="minorEastAsia" w:cstheme="minorEastAsia"/>
          <w:color w:val="auto"/>
          <w:sz w:val="21"/>
          <w:szCs w:val="21"/>
          <w:highlight w:val="none"/>
        </w:rPr>
        <w:fldChar w:fldCharType="end"/>
      </w:r>
    </w:p>
    <w:p w14:paraId="6478ECA8">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HYPERLINK \l _Toc11074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第四部分</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投标人须知</w:t>
      </w:r>
      <w:r>
        <w:rPr>
          <w:rFonts w:hint="eastAsia" w:asciiTheme="minorEastAsia" w:hAnsiTheme="minorEastAsia" w:eastAsiaTheme="minorEastAsia" w:cstheme="minorEastAsia"/>
          <w:color w:val="auto"/>
          <w:sz w:val="21"/>
          <w:szCs w:val="21"/>
          <w:highlight w:val="none"/>
        </w:rPr>
        <w:tab/>
      </w: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PAGEREF _Toc11074 \h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25</w:t>
      </w:r>
      <w:r>
        <w:rPr>
          <w:rFonts w:hint="eastAsia" w:asciiTheme="minorEastAsia" w:hAnsiTheme="minorEastAsia" w:eastAsiaTheme="minorEastAsia" w:cstheme="minorEastAsia"/>
          <w:color w:val="auto"/>
          <w:sz w:val="21"/>
          <w:szCs w:val="21"/>
          <w:highlight w:val="none"/>
        </w:rPr>
        <w:fldChar w:fldCharType="end"/>
      </w:r>
      <w:r>
        <w:rPr>
          <w:rFonts w:hint="eastAsia" w:asciiTheme="minorEastAsia" w:hAnsiTheme="minorEastAsia" w:eastAsiaTheme="minorEastAsia" w:cstheme="minorEastAsia"/>
          <w:color w:val="auto"/>
          <w:sz w:val="21"/>
          <w:szCs w:val="21"/>
          <w:highlight w:val="none"/>
        </w:rPr>
        <w:fldChar w:fldCharType="end"/>
      </w:r>
    </w:p>
    <w:p w14:paraId="50762174">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_Toc22363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一、 说明</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_Toc22363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25</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0319E5C">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_Toc2725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1. 适用范围</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_Toc2725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25</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D3E0A31">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_Toc32761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 定义</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_Toc32761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25</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6A078D2">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_Toc4246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 货物和服务</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_Toc4246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25</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EA478AD">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_Toc29281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4. 投标费用</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_Toc29281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25</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D229066">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_Toc8654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5. 知识产权</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_Toc8654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26</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41FB304">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_Toc9737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6. 关于联合体投标</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_Toc9737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26</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58FFD21">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_Toc28419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7. 关于分支机构投标</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_Toc28419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27</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C4365E7">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_Toc11141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8. 踏勘现场</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_Toc11141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27</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10BFB21">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_Toc9829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二、 采购文件</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_Toc9829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27</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53DB0E0">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_Toc130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9. 采购文件的组成</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_Toc130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27</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1BF2FDD">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_Toc15907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10. 采购文件的澄清或修改</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_Toc15907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27</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CE50729">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_Toc23751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三、 投标文件的编制</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_Toc23751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28</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D69B225">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_Toc2035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11. 投标文件的语言及度量衡单位</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_Toc2035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28</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6D340E1">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_Toc2070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12. 投标文件的组成</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_Toc2070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28</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6B8C088">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_Toc32236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13. 投标文件编制</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_Toc32236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28</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5641DC1">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_Toc2071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14. 投标报价说明</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_Toc2071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29</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7FF466C">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_Toc31551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15. 投标人所提供的服务或货物的证明文件</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_Toc31551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29</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073DC03">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_Toc11967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16. 投标有效期</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_Toc11967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29</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D67B1B2">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_Toc26502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17. 投标保证金</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_Toc26502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29</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915BEE6">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_Toc5328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四、 投标文件的递交</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_Toc5328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30</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40E2AF5">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_Toc20933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18. 投标文件的装订，签署，密封和标记</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_Toc20933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30</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723B636">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_Toc10590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19. 迟交的投标文件</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_Toc10590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31</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9B03A8F">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_Toc8282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20. 投标样品（如需提交）</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_Toc8282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31</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3223886">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_Toc1666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21. 投标截止期</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_Toc1666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32</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2CE23A3">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_Toc25956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22. 投标文件的补充、修改与撤回</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_Toc25956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32</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21054AD">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_Toc31906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五、 开标与评标</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_Toc31906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32</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6F7D648">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_Toc9068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23. 开标</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_Toc9068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32</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80C6882">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_Toc4340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24. 评标委员会及评标方法</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_Toc4340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33</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7C47A5D">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_Toc27735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25. 评审原则及评标过程的保密</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_Toc27735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33</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F3F5C8F">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_Toc20779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26. 评标程序</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_Toc20779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34</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EC91334">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_Toc21738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27. 商务、技术、价格评审（具体评审项目详见投标资料表）</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_Toc21738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36</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C1E96D7">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_Toc11625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28. 纪律和保密事项</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_Toc11625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36</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87BB462">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_Toc18790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六、 授予合同</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_Toc18790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36</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6C39E40">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_Toc21231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29. 合同授予标准</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_Toc21231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36</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EBB84C7">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_Toc29701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30. 发布中标结果</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_Toc29701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36</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A9C739D">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_Toc5411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31. 资格后审</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_Toc5411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37</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E8A0954">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_Toc11357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32. 合同的签订与履行</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_Toc11357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37</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747D6AB">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_Toc8157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33. 履约担保</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_Toc8157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37</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4357E5D">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_Toc24319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34. 预付款保函（适用于预付款支付）</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_Toc24319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38</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6168AA4">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_Toc17702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七、 异议</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_Toc17702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39</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BAE52B3">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_Toc5822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35. 异议</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_Toc5822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39</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5B80A62">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_Toc2497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八、 其他</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_Toc2497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39</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368F929">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_Toc23941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36. 采购文件的解释权</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_Toc23941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39</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37A2F5E">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HYPERLINK \l _Toc28478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第五部分</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合同条款格式</w:t>
      </w:r>
      <w:r>
        <w:rPr>
          <w:rFonts w:hint="eastAsia" w:asciiTheme="minorEastAsia" w:hAnsiTheme="minorEastAsia" w:eastAsiaTheme="minorEastAsia" w:cstheme="minorEastAsia"/>
          <w:color w:val="auto"/>
          <w:sz w:val="21"/>
          <w:szCs w:val="21"/>
          <w:highlight w:val="none"/>
        </w:rPr>
        <w:tab/>
      </w: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PAGEREF _Toc28478 \h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40</w:t>
      </w:r>
      <w:r>
        <w:rPr>
          <w:rFonts w:hint="eastAsia" w:asciiTheme="minorEastAsia" w:hAnsiTheme="minorEastAsia" w:eastAsiaTheme="minorEastAsia" w:cstheme="minorEastAsia"/>
          <w:color w:val="auto"/>
          <w:sz w:val="21"/>
          <w:szCs w:val="21"/>
          <w:highlight w:val="none"/>
        </w:rPr>
        <w:fldChar w:fldCharType="end"/>
      </w:r>
      <w:r>
        <w:rPr>
          <w:rFonts w:hint="eastAsia" w:asciiTheme="minorEastAsia" w:hAnsiTheme="minorEastAsia" w:eastAsiaTheme="minorEastAsia" w:cstheme="minorEastAsia"/>
          <w:color w:val="auto"/>
          <w:sz w:val="21"/>
          <w:szCs w:val="21"/>
          <w:highlight w:val="none"/>
        </w:rPr>
        <w:fldChar w:fldCharType="end"/>
      </w:r>
    </w:p>
    <w:p w14:paraId="267F91D8">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HYPERLINK \l _Toc6323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第六部分</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附件－投标文件格式</w:t>
      </w:r>
      <w:r>
        <w:rPr>
          <w:rFonts w:hint="eastAsia" w:asciiTheme="minorEastAsia" w:hAnsiTheme="minorEastAsia" w:eastAsiaTheme="minorEastAsia" w:cstheme="minorEastAsia"/>
          <w:color w:val="auto"/>
          <w:sz w:val="21"/>
          <w:szCs w:val="21"/>
          <w:highlight w:val="none"/>
        </w:rPr>
        <w:tab/>
      </w: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PAGEREF _Toc6323 \h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69</w:t>
      </w:r>
      <w:r>
        <w:rPr>
          <w:rFonts w:hint="eastAsia" w:asciiTheme="minorEastAsia" w:hAnsiTheme="minorEastAsia" w:eastAsiaTheme="minorEastAsia" w:cstheme="minorEastAsia"/>
          <w:color w:val="auto"/>
          <w:sz w:val="21"/>
          <w:szCs w:val="21"/>
          <w:highlight w:val="none"/>
        </w:rPr>
        <w:fldChar w:fldCharType="end"/>
      </w:r>
      <w:r>
        <w:rPr>
          <w:rFonts w:hint="eastAsia" w:asciiTheme="minorEastAsia" w:hAnsiTheme="minorEastAsia" w:eastAsiaTheme="minorEastAsia" w:cstheme="minorEastAsia"/>
          <w:color w:val="auto"/>
          <w:sz w:val="21"/>
          <w:szCs w:val="21"/>
          <w:highlight w:val="none"/>
        </w:rPr>
        <w:fldChar w:fldCharType="end"/>
      </w:r>
    </w:p>
    <w:p w14:paraId="76C2E4C3">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_Toc12136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投标文件目录</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_Toc12136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69</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6BECD8C">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_Toc25920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附件1.评分标准索引表</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_Toc25920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70</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E56B71B">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HYPERLINK \l _Toc31811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价格文件</w:t>
      </w:r>
      <w:r>
        <w:rPr>
          <w:rFonts w:hint="eastAsia" w:asciiTheme="minorEastAsia" w:hAnsiTheme="minorEastAsia" w:eastAsiaTheme="minorEastAsia" w:cstheme="minorEastAsia"/>
          <w:color w:val="auto"/>
          <w:sz w:val="21"/>
          <w:szCs w:val="21"/>
          <w:highlight w:val="none"/>
        </w:rPr>
        <w:tab/>
      </w: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PAGEREF _Toc31811 \h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71</w:t>
      </w:r>
      <w:r>
        <w:rPr>
          <w:rFonts w:hint="eastAsia" w:asciiTheme="minorEastAsia" w:hAnsiTheme="minorEastAsia" w:eastAsiaTheme="minorEastAsia" w:cstheme="minorEastAsia"/>
          <w:color w:val="auto"/>
          <w:sz w:val="21"/>
          <w:szCs w:val="21"/>
          <w:highlight w:val="none"/>
        </w:rPr>
        <w:fldChar w:fldCharType="end"/>
      </w:r>
      <w:r>
        <w:rPr>
          <w:rFonts w:hint="eastAsia" w:asciiTheme="minorEastAsia" w:hAnsiTheme="minorEastAsia" w:eastAsiaTheme="minorEastAsia" w:cstheme="minorEastAsia"/>
          <w:color w:val="auto"/>
          <w:sz w:val="21"/>
          <w:szCs w:val="21"/>
          <w:highlight w:val="none"/>
        </w:rPr>
        <w:fldChar w:fldCharType="end"/>
      </w:r>
    </w:p>
    <w:p w14:paraId="7C44FF4E">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_Toc23110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附件2.开标一览表格式</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_Toc23110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72</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A598951">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_Toc12548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w:t>
      </w:r>
      <w:r>
        <w:rPr>
          <w:rFonts w:hint="eastAsia" w:asciiTheme="minorEastAsia" w:hAnsiTheme="minorEastAsia" w:eastAsiaTheme="minorEastAsia" w:cstheme="minorEastAsia"/>
          <w:color w:val="auto"/>
          <w:szCs w:val="21"/>
          <w:highlight w:val="none"/>
          <w:lang w:val="en-US" w:eastAsia="zh-CN"/>
        </w:rPr>
        <w:t>3</w:t>
      </w:r>
      <w:r>
        <w:rPr>
          <w:rFonts w:hint="eastAsia" w:asciiTheme="minorEastAsia" w:hAnsiTheme="minorEastAsia" w:eastAsiaTheme="minorEastAsia" w:cstheme="minorEastAsia"/>
          <w:color w:val="auto"/>
          <w:szCs w:val="21"/>
          <w:highlight w:val="none"/>
        </w:rPr>
        <w:t>.报价明细表格式</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_Toc12548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73</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8A88483">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HYPERLINK \l _Toc3239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商务文件</w:t>
      </w:r>
      <w:r>
        <w:rPr>
          <w:rFonts w:hint="eastAsia" w:asciiTheme="minorEastAsia" w:hAnsiTheme="minorEastAsia" w:eastAsiaTheme="minorEastAsia" w:cstheme="minorEastAsia"/>
          <w:color w:val="auto"/>
          <w:sz w:val="21"/>
          <w:szCs w:val="21"/>
          <w:highlight w:val="none"/>
        </w:rPr>
        <w:tab/>
      </w: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PAGEREF _Toc3239 \h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74</w:t>
      </w:r>
      <w:r>
        <w:rPr>
          <w:rFonts w:hint="eastAsia" w:asciiTheme="minorEastAsia" w:hAnsiTheme="minorEastAsia" w:eastAsiaTheme="minorEastAsia" w:cstheme="minorEastAsia"/>
          <w:color w:val="auto"/>
          <w:sz w:val="21"/>
          <w:szCs w:val="21"/>
          <w:highlight w:val="none"/>
        </w:rPr>
        <w:fldChar w:fldCharType="end"/>
      </w:r>
      <w:r>
        <w:rPr>
          <w:rFonts w:hint="eastAsia" w:asciiTheme="minorEastAsia" w:hAnsiTheme="minorEastAsia" w:eastAsiaTheme="minorEastAsia" w:cstheme="minorEastAsia"/>
          <w:color w:val="auto"/>
          <w:sz w:val="21"/>
          <w:szCs w:val="21"/>
          <w:highlight w:val="none"/>
        </w:rPr>
        <w:fldChar w:fldCharType="end"/>
      </w:r>
    </w:p>
    <w:p w14:paraId="64A42281">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_Toc924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w:t>
      </w:r>
      <w:r>
        <w:rPr>
          <w:rFonts w:hint="eastAsia" w:asciiTheme="minorEastAsia" w:hAnsiTheme="minorEastAsia" w:eastAsiaTheme="minorEastAsia" w:cstheme="minorEastAsia"/>
          <w:color w:val="auto"/>
          <w:szCs w:val="21"/>
          <w:highlight w:val="none"/>
          <w:lang w:val="en-US" w:eastAsia="zh-CN"/>
        </w:rPr>
        <w:t>4</w:t>
      </w:r>
      <w:r>
        <w:rPr>
          <w:rFonts w:hint="eastAsia" w:asciiTheme="minorEastAsia" w:hAnsiTheme="minorEastAsia" w:eastAsiaTheme="minorEastAsia" w:cstheme="minorEastAsia"/>
          <w:color w:val="auto"/>
          <w:szCs w:val="21"/>
          <w:highlight w:val="none"/>
        </w:rPr>
        <w:t>.投标书格式</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_Toc924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75</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67D5DD1">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_Toc17620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w:t>
      </w:r>
      <w:r>
        <w:rPr>
          <w:rFonts w:hint="eastAsia" w:asciiTheme="minorEastAsia" w:hAnsiTheme="minorEastAsia" w:eastAsiaTheme="minorEastAsia" w:cstheme="minorEastAsia"/>
          <w:color w:val="auto"/>
          <w:szCs w:val="21"/>
          <w:highlight w:val="none"/>
          <w:lang w:val="en-US" w:eastAsia="zh-CN"/>
        </w:rPr>
        <w:t>5</w:t>
      </w:r>
      <w:r>
        <w:rPr>
          <w:rFonts w:hint="eastAsia" w:asciiTheme="minorEastAsia" w:hAnsiTheme="minorEastAsia" w:eastAsiaTheme="minorEastAsia" w:cstheme="minorEastAsia"/>
          <w:color w:val="auto"/>
          <w:szCs w:val="21"/>
          <w:highlight w:val="none"/>
        </w:rPr>
        <w:t>. 法定代表人证明书格式</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_Toc17620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76</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D817834">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_Toc977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w:t>
      </w:r>
      <w:r>
        <w:rPr>
          <w:rFonts w:hint="eastAsia" w:asciiTheme="minorEastAsia" w:hAnsiTheme="minorEastAsia" w:eastAsiaTheme="minorEastAsia" w:cstheme="minorEastAsia"/>
          <w:color w:val="auto"/>
          <w:szCs w:val="21"/>
          <w:highlight w:val="none"/>
          <w:lang w:val="en-US" w:eastAsia="zh-CN"/>
        </w:rPr>
        <w:t>6</w:t>
      </w:r>
      <w:r>
        <w:rPr>
          <w:rFonts w:hint="eastAsia" w:asciiTheme="minorEastAsia" w:hAnsiTheme="minorEastAsia" w:eastAsiaTheme="minorEastAsia" w:cstheme="minorEastAsia"/>
          <w:color w:val="auto"/>
          <w:szCs w:val="21"/>
          <w:highlight w:val="none"/>
        </w:rPr>
        <w:t>.法定代表人授权书格式</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_Toc977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77</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5012B71">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_Toc8215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w:t>
      </w:r>
      <w:r>
        <w:rPr>
          <w:rFonts w:hint="eastAsia" w:asciiTheme="minorEastAsia" w:hAnsiTheme="minorEastAsia" w:eastAsiaTheme="minorEastAsia" w:cstheme="minorEastAsia"/>
          <w:color w:val="auto"/>
          <w:szCs w:val="21"/>
          <w:highlight w:val="none"/>
          <w:lang w:val="en-US" w:eastAsia="zh-CN"/>
        </w:rPr>
        <w:t>7</w:t>
      </w:r>
      <w:r>
        <w:rPr>
          <w:rFonts w:hint="eastAsia" w:asciiTheme="minorEastAsia" w:hAnsiTheme="minorEastAsia" w:eastAsiaTheme="minorEastAsia" w:cstheme="minorEastAsia"/>
          <w:color w:val="auto"/>
          <w:szCs w:val="21"/>
          <w:highlight w:val="none"/>
        </w:rPr>
        <w:t>.资格申明</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_Toc8215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78</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7B3411F">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_Toc23554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w:t>
      </w:r>
      <w:r>
        <w:rPr>
          <w:rFonts w:hint="eastAsia" w:asciiTheme="minorEastAsia" w:hAnsiTheme="minorEastAsia" w:eastAsiaTheme="minorEastAsia" w:cstheme="minorEastAsia"/>
          <w:color w:val="auto"/>
          <w:szCs w:val="21"/>
          <w:highlight w:val="none"/>
          <w:lang w:val="en-US" w:eastAsia="zh-CN"/>
        </w:rPr>
        <w:t>8</w:t>
      </w:r>
      <w:r>
        <w:rPr>
          <w:rFonts w:hint="eastAsia" w:asciiTheme="minorEastAsia" w:hAnsiTheme="minorEastAsia" w:eastAsiaTheme="minorEastAsia" w:cstheme="minorEastAsia"/>
          <w:color w:val="auto"/>
          <w:szCs w:val="21"/>
          <w:highlight w:val="none"/>
        </w:rPr>
        <w:t>.营业执照</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_Toc23554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79</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0BB23C8">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_Toc24767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w:t>
      </w:r>
      <w:r>
        <w:rPr>
          <w:rFonts w:hint="eastAsia" w:asciiTheme="minorEastAsia" w:hAnsiTheme="minorEastAsia" w:eastAsiaTheme="minorEastAsia" w:cstheme="minorEastAsia"/>
          <w:color w:val="auto"/>
          <w:szCs w:val="21"/>
          <w:highlight w:val="none"/>
          <w:lang w:val="en-US" w:eastAsia="zh-CN"/>
        </w:rPr>
        <w:t>9</w:t>
      </w:r>
      <w:r>
        <w:rPr>
          <w:rFonts w:hint="eastAsia" w:asciiTheme="minorEastAsia" w:hAnsiTheme="minorEastAsia" w:eastAsiaTheme="minorEastAsia" w:cstheme="minorEastAsia"/>
          <w:color w:val="auto"/>
          <w:szCs w:val="21"/>
          <w:highlight w:val="none"/>
        </w:rPr>
        <w:t>.相关资质证明文件</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_Toc24767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80</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0B02190">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_Toc10489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w:t>
      </w:r>
      <w:r>
        <w:rPr>
          <w:rFonts w:hint="eastAsia" w:asciiTheme="minorEastAsia" w:hAnsiTheme="minorEastAsia" w:eastAsiaTheme="minorEastAsia" w:cstheme="minorEastAsia"/>
          <w:color w:val="auto"/>
          <w:szCs w:val="21"/>
          <w:highlight w:val="none"/>
          <w:lang w:val="en-US" w:eastAsia="zh-CN"/>
        </w:rPr>
        <w:t>10</w:t>
      </w:r>
      <w:r>
        <w:rPr>
          <w:rFonts w:hint="eastAsia" w:asciiTheme="minorEastAsia" w:hAnsiTheme="minorEastAsia" w:eastAsiaTheme="minorEastAsia" w:cstheme="minorEastAsia"/>
          <w:color w:val="auto"/>
          <w:szCs w:val="21"/>
          <w:highlight w:val="none"/>
        </w:rPr>
        <w:t>.在经营活动中没有重大违法记录的书面声明格式</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_Toc10489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81</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BE70322">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_Toc3365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附件1</w:t>
      </w:r>
      <w:r>
        <w:rPr>
          <w:rFonts w:hint="eastAsia" w:asciiTheme="minorEastAsia" w:hAnsiTheme="minorEastAsia" w:eastAsiaTheme="minorEastAsia" w:cstheme="minorEastAsia"/>
          <w:color w:val="auto"/>
          <w:szCs w:val="21"/>
          <w:highlight w:val="none"/>
          <w:lang w:val="en-US" w:eastAsia="zh-CN"/>
        </w:rPr>
        <w:t>1</w:t>
      </w:r>
      <w:r>
        <w:rPr>
          <w:rFonts w:hint="eastAsia" w:asciiTheme="minorEastAsia" w:hAnsiTheme="minorEastAsia" w:eastAsiaTheme="minorEastAsia" w:cstheme="minorEastAsia"/>
          <w:color w:val="auto"/>
          <w:szCs w:val="21"/>
          <w:highlight w:val="none"/>
        </w:rPr>
        <w:t>.承诺书格式</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_Toc3365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82</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FBE185F">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_Toc10630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附件1</w:t>
      </w: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eastAsiaTheme="minorEastAsia" w:cstheme="minorEastAsia"/>
          <w:color w:val="auto"/>
          <w:szCs w:val="21"/>
          <w:highlight w:val="none"/>
        </w:rPr>
        <w:t>.商务需求条款偏离表格式</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_Toc10630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83</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F097A28">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_Toc15204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附件1</w:t>
      </w:r>
      <w:r>
        <w:rPr>
          <w:rFonts w:hint="eastAsia" w:asciiTheme="minorEastAsia" w:hAnsiTheme="minorEastAsia" w:eastAsiaTheme="minorEastAsia" w:cstheme="minorEastAsia"/>
          <w:color w:val="auto"/>
          <w:szCs w:val="21"/>
          <w:highlight w:val="none"/>
          <w:lang w:val="en-US" w:eastAsia="zh-CN"/>
        </w:rPr>
        <w:t>3</w:t>
      </w:r>
      <w:r>
        <w:rPr>
          <w:rFonts w:hint="eastAsia" w:asciiTheme="minorEastAsia" w:hAnsiTheme="minorEastAsia" w:eastAsiaTheme="minorEastAsia" w:cstheme="minorEastAsia"/>
          <w:color w:val="auto"/>
          <w:szCs w:val="21"/>
          <w:highlight w:val="none"/>
        </w:rPr>
        <w:t>.业绩表</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_Toc15204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84</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54C7131">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_Toc19382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附件1</w:t>
      </w:r>
      <w:r>
        <w:rPr>
          <w:rFonts w:hint="eastAsia" w:asciiTheme="minorEastAsia" w:hAnsiTheme="minorEastAsia" w:eastAsiaTheme="minorEastAsia" w:cstheme="minorEastAsia"/>
          <w:color w:val="auto"/>
          <w:szCs w:val="21"/>
          <w:highlight w:val="none"/>
          <w:lang w:val="en-US" w:eastAsia="zh-CN"/>
        </w:rPr>
        <w:t>4</w:t>
      </w:r>
      <w:r>
        <w:rPr>
          <w:rFonts w:hint="eastAsia" w:asciiTheme="minorEastAsia" w:hAnsiTheme="minorEastAsia" w:eastAsiaTheme="minorEastAsia" w:cstheme="minorEastAsia"/>
          <w:color w:val="auto"/>
          <w:szCs w:val="21"/>
          <w:highlight w:val="none"/>
        </w:rPr>
        <w:t>.联合体协议书（如有）</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_Toc19382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85</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B6AB077">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HYPERLINK \l _Toc6195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技术文件</w:t>
      </w:r>
      <w:r>
        <w:rPr>
          <w:rFonts w:hint="eastAsia" w:asciiTheme="minorEastAsia" w:hAnsiTheme="minorEastAsia" w:eastAsiaTheme="minorEastAsia" w:cstheme="minorEastAsia"/>
          <w:color w:val="auto"/>
          <w:sz w:val="21"/>
          <w:szCs w:val="21"/>
          <w:highlight w:val="none"/>
        </w:rPr>
        <w:tab/>
      </w: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PAGEREF _Toc6195 \h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87</w:t>
      </w:r>
      <w:r>
        <w:rPr>
          <w:rFonts w:hint="eastAsia" w:asciiTheme="minorEastAsia" w:hAnsiTheme="minorEastAsia" w:eastAsiaTheme="minorEastAsia" w:cstheme="minorEastAsia"/>
          <w:color w:val="auto"/>
          <w:sz w:val="21"/>
          <w:szCs w:val="21"/>
          <w:highlight w:val="none"/>
        </w:rPr>
        <w:fldChar w:fldCharType="end"/>
      </w:r>
      <w:r>
        <w:rPr>
          <w:rFonts w:hint="eastAsia" w:asciiTheme="minorEastAsia" w:hAnsiTheme="minorEastAsia" w:eastAsiaTheme="minorEastAsia" w:cstheme="minorEastAsia"/>
          <w:color w:val="auto"/>
          <w:sz w:val="21"/>
          <w:szCs w:val="21"/>
          <w:highlight w:val="none"/>
        </w:rPr>
        <w:fldChar w:fldCharType="end"/>
      </w:r>
    </w:p>
    <w:p w14:paraId="30FD77BC">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_Toc3286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附件1</w:t>
      </w:r>
      <w:r>
        <w:rPr>
          <w:rFonts w:hint="eastAsia" w:asciiTheme="minorEastAsia" w:hAnsiTheme="minorEastAsia" w:eastAsiaTheme="minorEastAsia" w:cstheme="minorEastAsia"/>
          <w:color w:val="auto"/>
          <w:szCs w:val="21"/>
          <w:highlight w:val="none"/>
          <w:lang w:val="en-US" w:eastAsia="zh-CN"/>
        </w:rPr>
        <w:t>5</w:t>
      </w:r>
      <w:r>
        <w:rPr>
          <w:rFonts w:hint="eastAsia" w:asciiTheme="minorEastAsia" w:hAnsiTheme="minorEastAsia" w:eastAsiaTheme="minorEastAsia" w:cstheme="minorEastAsia"/>
          <w:color w:val="auto"/>
          <w:szCs w:val="21"/>
          <w:highlight w:val="none"/>
        </w:rPr>
        <w:t>. 技术规格偏离表格式</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_Toc3286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88</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0135689">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_Toc26957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附件1</w:t>
      </w:r>
      <w:r>
        <w:rPr>
          <w:rFonts w:hint="eastAsia" w:asciiTheme="minorEastAsia" w:hAnsiTheme="minorEastAsia" w:eastAsiaTheme="minorEastAsia" w:cstheme="minorEastAsia"/>
          <w:color w:val="auto"/>
          <w:szCs w:val="21"/>
          <w:highlight w:val="none"/>
          <w:lang w:val="en-US" w:eastAsia="zh-CN"/>
        </w:rPr>
        <w:t>6</w:t>
      </w:r>
      <w:r>
        <w:rPr>
          <w:rFonts w:hint="eastAsia" w:asciiTheme="minorEastAsia" w:hAnsiTheme="minorEastAsia" w:eastAsiaTheme="minorEastAsia" w:cstheme="minorEastAsia"/>
          <w:color w:val="auto"/>
          <w:szCs w:val="21"/>
          <w:highlight w:val="none"/>
        </w:rPr>
        <w:t>.项目实施方案格式</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_Toc26957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89</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8380B90">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_Toc2742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附件1</w:t>
      </w:r>
      <w:r>
        <w:rPr>
          <w:rFonts w:hint="eastAsia" w:asciiTheme="minorEastAsia" w:hAnsiTheme="minorEastAsia" w:eastAsiaTheme="minorEastAsia" w:cstheme="minorEastAsia"/>
          <w:color w:val="auto"/>
          <w:szCs w:val="21"/>
          <w:highlight w:val="none"/>
          <w:lang w:val="en-US" w:eastAsia="zh-CN"/>
        </w:rPr>
        <w:t>7</w:t>
      </w:r>
      <w:r>
        <w:rPr>
          <w:rFonts w:hint="eastAsia" w:asciiTheme="minorEastAsia" w:hAnsiTheme="minorEastAsia" w:eastAsiaTheme="minorEastAsia" w:cstheme="minorEastAsia"/>
          <w:color w:val="auto"/>
          <w:szCs w:val="21"/>
          <w:highlight w:val="none"/>
        </w:rPr>
        <w:t>.实施本项目的有关人员资料表格式</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_Toc2742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90</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7BB01ED">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_Toc4161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附件1</w:t>
      </w:r>
      <w:r>
        <w:rPr>
          <w:rFonts w:hint="eastAsia" w:asciiTheme="minorEastAsia" w:hAnsiTheme="minorEastAsia" w:eastAsiaTheme="minorEastAsia" w:cstheme="minorEastAsia"/>
          <w:color w:val="auto"/>
          <w:szCs w:val="21"/>
          <w:highlight w:val="none"/>
          <w:lang w:val="en-US" w:eastAsia="zh-CN"/>
        </w:rPr>
        <w:t>8</w:t>
      </w:r>
      <w:r>
        <w:rPr>
          <w:rFonts w:hint="eastAsia" w:asciiTheme="minorEastAsia" w:hAnsiTheme="minorEastAsia" w:eastAsiaTheme="minorEastAsia" w:cstheme="minorEastAsia"/>
          <w:color w:val="auto"/>
          <w:szCs w:val="21"/>
          <w:highlight w:val="none"/>
        </w:rPr>
        <w:t>.投标保证金汇入情况说明格式</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_Toc4161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91</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0404E4E">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_Toc22460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附件1</w:t>
      </w:r>
      <w:r>
        <w:rPr>
          <w:rFonts w:hint="eastAsia" w:asciiTheme="minorEastAsia" w:hAnsiTheme="minorEastAsia" w:eastAsiaTheme="minorEastAsia" w:cstheme="minorEastAsia"/>
          <w:color w:val="auto"/>
          <w:szCs w:val="21"/>
          <w:highlight w:val="none"/>
          <w:lang w:val="en-US" w:eastAsia="zh-CN"/>
        </w:rPr>
        <w:t>9</w:t>
      </w:r>
      <w:r>
        <w:rPr>
          <w:rFonts w:hint="eastAsia" w:asciiTheme="minorEastAsia" w:hAnsiTheme="minorEastAsia" w:eastAsiaTheme="minorEastAsia" w:cstheme="minorEastAsia"/>
          <w:color w:val="auto"/>
          <w:szCs w:val="21"/>
          <w:highlight w:val="none"/>
        </w:rPr>
        <w:t>.不可撤销履约保函</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_Toc22460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93</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05A00E8">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_Toc30887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w:t>
      </w:r>
      <w:r>
        <w:rPr>
          <w:rFonts w:hint="eastAsia" w:asciiTheme="minorEastAsia" w:hAnsiTheme="minorEastAsia" w:eastAsiaTheme="minorEastAsia" w:cstheme="minorEastAsia"/>
          <w:color w:val="auto"/>
          <w:szCs w:val="21"/>
          <w:highlight w:val="none"/>
          <w:lang w:val="en-US" w:eastAsia="zh-CN"/>
        </w:rPr>
        <w:t>20</w:t>
      </w:r>
      <w:r>
        <w:rPr>
          <w:rFonts w:hint="eastAsia" w:asciiTheme="minorEastAsia" w:hAnsiTheme="minorEastAsia" w:eastAsiaTheme="minorEastAsia" w:cstheme="minorEastAsia"/>
          <w:color w:val="auto"/>
          <w:szCs w:val="21"/>
          <w:highlight w:val="none"/>
        </w:rPr>
        <w:t>.预付款保函（适用于预付款支付）</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_Toc30887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94</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BF1272D">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HYPERLINK \l _Toc28867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唱标信封</w:t>
      </w:r>
      <w:r>
        <w:rPr>
          <w:rFonts w:hint="eastAsia" w:asciiTheme="minorEastAsia" w:hAnsiTheme="minorEastAsia" w:eastAsiaTheme="minorEastAsia" w:cstheme="minorEastAsia"/>
          <w:color w:val="auto"/>
          <w:sz w:val="21"/>
          <w:szCs w:val="21"/>
          <w:highlight w:val="none"/>
        </w:rPr>
        <w:tab/>
      </w: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PAGEREF _Toc28867 \h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95</w:t>
      </w:r>
      <w:r>
        <w:rPr>
          <w:rFonts w:hint="eastAsia" w:asciiTheme="minorEastAsia" w:hAnsiTheme="minorEastAsia" w:eastAsiaTheme="minorEastAsia" w:cstheme="minorEastAsia"/>
          <w:color w:val="auto"/>
          <w:sz w:val="21"/>
          <w:szCs w:val="21"/>
          <w:highlight w:val="none"/>
        </w:rPr>
        <w:fldChar w:fldCharType="end"/>
      </w:r>
      <w:r>
        <w:rPr>
          <w:rFonts w:hint="eastAsia" w:asciiTheme="minorEastAsia" w:hAnsiTheme="minorEastAsia" w:eastAsiaTheme="minorEastAsia" w:cstheme="minorEastAsia"/>
          <w:color w:val="auto"/>
          <w:sz w:val="21"/>
          <w:szCs w:val="21"/>
          <w:highlight w:val="none"/>
        </w:rPr>
        <w:fldChar w:fldCharType="end"/>
      </w:r>
    </w:p>
    <w:p w14:paraId="0F15F3F9">
      <w:pPr>
        <w:pStyle w:val="22"/>
        <w:tabs>
          <w:tab w:val="right" w:leader="dot" w:pos="9014"/>
          <w:tab w:val="clear" w:pos="8296"/>
        </w:tabs>
        <w:spacing w:after="0"/>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_Toc29958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附件</w:t>
      </w:r>
      <w:r>
        <w:rPr>
          <w:rFonts w:hint="eastAsia" w:asciiTheme="minorEastAsia" w:hAnsiTheme="minorEastAsia" w:eastAsiaTheme="minorEastAsia" w:cstheme="minorEastAsia"/>
          <w:color w:val="auto"/>
          <w:szCs w:val="21"/>
          <w:highlight w:val="none"/>
          <w:lang w:val="en-US" w:eastAsia="zh-CN"/>
        </w:rPr>
        <w:t>21</w:t>
      </w:r>
      <w:r>
        <w:rPr>
          <w:rFonts w:hint="eastAsia" w:asciiTheme="minorEastAsia" w:hAnsiTheme="minorEastAsia" w:eastAsiaTheme="minorEastAsia" w:cstheme="minorEastAsia"/>
          <w:color w:val="auto"/>
          <w:szCs w:val="21"/>
          <w:highlight w:val="none"/>
        </w:rPr>
        <w:t>.唱标信封内装（内容务必与投标文件正本一致）</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_Toc29958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96</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1DAA6BA">
      <w:pPr>
        <w:pStyle w:val="22"/>
        <w:tabs>
          <w:tab w:val="right" w:leader="dot" w:pos="9014"/>
          <w:tab w:val="clear" w:pos="8296"/>
        </w:tabs>
        <w:spacing w:after="0"/>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fldChar w:fldCharType="end"/>
      </w:r>
    </w:p>
    <w:p w14:paraId="799397BE">
      <w:pPr>
        <w:pStyle w:val="6"/>
        <w:spacing w:before="0" w:after="0" w:line="240" w:lineRule="auto"/>
        <w:rPr>
          <w:rFonts w:hint="eastAsia"/>
          <w:color w:val="auto"/>
          <w:sz w:val="28"/>
          <w:szCs w:val="28"/>
          <w:highlight w:val="none"/>
        </w:rPr>
        <w:sectPr>
          <w:headerReference r:id="rId11" w:type="first"/>
          <w:headerReference r:id="rId10" w:type="default"/>
          <w:footerReference r:id="rId12" w:type="default"/>
          <w:pgSz w:w="11906" w:h="16838"/>
          <w:pgMar w:top="1440" w:right="1446" w:bottom="1440" w:left="1446" w:header="708" w:footer="708" w:gutter="0"/>
          <w:pgNumType w:fmt="decimal"/>
          <w:cols w:space="708" w:num="1"/>
          <w:titlePg/>
          <w:docGrid w:type="lines" w:linePitch="360" w:charSpace="0"/>
        </w:sectPr>
      </w:pPr>
      <w:bookmarkStart w:id="0" w:name="_Toc8724"/>
      <w:bookmarkStart w:id="1" w:name="_Toc21044"/>
    </w:p>
    <w:p w14:paraId="434597CE">
      <w:pPr>
        <w:pStyle w:val="6"/>
        <w:spacing w:before="0" w:after="0" w:line="240" w:lineRule="auto"/>
        <w:rPr>
          <w:color w:val="auto"/>
          <w:sz w:val="28"/>
          <w:szCs w:val="28"/>
          <w:highlight w:val="none"/>
        </w:rPr>
      </w:pPr>
      <w:r>
        <w:rPr>
          <w:rFonts w:hint="eastAsia"/>
          <w:color w:val="auto"/>
          <w:sz w:val="28"/>
          <w:szCs w:val="28"/>
          <w:highlight w:val="none"/>
        </w:rPr>
        <w:t>第一部分</w:t>
      </w:r>
      <w:r>
        <w:rPr>
          <w:rFonts w:hint="eastAsia"/>
          <w:color w:val="auto"/>
          <w:sz w:val="28"/>
          <w:szCs w:val="28"/>
          <w:highlight w:val="none"/>
          <w:lang w:val="en-US" w:eastAsia="zh-CN"/>
        </w:rPr>
        <w:t xml:space="preserve"> </w:t>
      </w:r>
      <w:r>
        <w:rPr>
          <w:rFonts w:hint="eastAsia"/>
          <w:color w:val="auto"/>
          <w:sz w:val="28"/>
          <w:szCs w:val="28"/>
          <w:highlight w:val="none"/>
        </w:rPr>
        <w:t>投标邀请</w:t>
      </w:r>
      <w:bookmarkEnd w:id="0"/>
      <w:bookmarkEnd w:id="1"/>
    </w:p>
    <w:p w14:paraId="28F56B34">
      <w:pPr>
        <w:pStyle w:val="7"/>
        <w:spacing w:before="0" w:after="0" w:line="360" w:lineRule="auto"/>
        <w:jc w:val="center"/>
        <w:rPr>
          <w:rFonts w:hint="default" w:ascii="宋体" w:hAnsi="宋体" w:cs="宋体"/>
          <w:color w:val="auto"/>
          <w:highlight w:val="none"/>
          <w:lang w:val="en-US"/>
        </w:rPr>
      </w:pPr>
      <w:bookmarkStart w:id="2" w:name="_Toc23262"/>
      <w:bookmarkStart w:id="3" w:name="_Toc8950"/>
      <w:r>
        <w:rPr>
          <w:rFonts w:hint="default" w:ascii="宋体" w:hAnsi="宋体" w:cs="宋体"/>
          <w:color w:val="auto"/>
          <w:highlight w:val="none"/>
          <w:lang w:val="en-US"/>
        </w:rPr>
        <w:t>投标邀请书</w:t>
      </w:r>
      <w:bookmarkEnd w:id="2"/>
      <w:bookmarkEnd w:id="3"/>
    </w:p>
    <w:p w14:paraId="3CED8E3E">
      <w:pPr>
        <w:snapToGrid/>
        <w:spacing w:line="324" w:lineRule="auto"/>
        <w:ind w:firstLine="422" w:firstLineChars="200"/>
        <w:rPr>
          <w:rFonts w:hint="eastAsia" w:ascii="宋体" w:hAnsi="宋体" w:eastAsia="宋体" w:cs="宋体"/>
          <w:color w:val="auto"/>
          <w:sz w:val="21"/>
          <w:szCs w:val="21"/>
          <w:highlight w:val="none"/>
        </w:rPr>
      </w:pPr>
      <w:r>
        <w:rPr>
          <w:rFonts w:hint="eastAsia" w:ascii="宋体" w:hAnsi="宋体" w:cs="宋体"/>
          <w:b/>
          <w:bCs/>
          <w:color w:val="auto"/>
          <w:sz w:val="21"/>
          <w:szCs w:val="21"/>
          <w:highlight w:val="none"/>
          <w:u w:val="single"/>
          <w:lang w:val="en-US" w:eastAsia="zh-CN"/>
        </w:rPr>
        <w:t>广州宏达工程顾问集团有限公司</w:t>
      </w:r>
      <w:r>
        <w:rPr>
          <w:rFonts w:hint="eastAsia" w:ascii="宋体" w:hAnsi="宋体" w:eastAsia="宋体" w:cs="宋体"/>
          <w:color w:val="auto"/>
          <w:sz w:val="21"/>
          <w:szCs w:val="21"/>
          <w:highlight w:val="none"/>
        </w:rPr>
        <w:t>（以下简称“采购代理机构”）受</w:t>
      </w:r>
      <w:r>
        <w:rPr>
          <w:rFonts w:hint="eastAsia" w:ascii="宋体" w:hAnsi="宋体" w:cs="宋体"/>
          <w:b/>
          <w:bCs/>
          <w:color w:val="auto"/>
          <w:sz w:val="21"/>
          <w:szCs w:val="21"/>
          <w:highlight w:val="none"/>
          <w:u w:val="single"/>
          <w:lang w:eastAsia="zh-CN"/>
        </w:rPr>
        <w:t>广东东实环境股份有限公司</w:t>
      </w:r>
      <w:r>
        <w:rPr>
          <w:rFonts w:hint="eastAsia" w:ascii="宋体" w:hAnsi="宋体" w:eastAsia="宋体" w:cs="宋体"/>
          <w:color w:val="auto"/>
          <w:sz w:val="21"/>
          <w:szCs w:val="21"/>
          <w:highlight w:val="none"/>
        </w:rPr>
        <w:t>（以下简称“采购人”）委托，现就</w:t>
      </w:r>
      <w:r>
        <w:rPr>
          <w:rFonts w:hint="eastAsia" w:ascii="宋体" w:hAnsi="宋体" w:cs="宋体"/>
          <w:b/>
          <w:color w:val="auto"/>
          <w:sz w:val="21"/>
          <w:szCs w:val="21"/>
          <w:highlight w:val="none"/>
          <w:u w:val="single"/>
          <w:lang w:eastAsia="zh-CN"/>
        </w:rPr>
        <w:t>麻涌餐厨项目预处理系统提效工程环保技术服务项目（重新采购）</w:t>
      </w: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b/>
          <w:bCs/>
          <w:color w:val="auto"/>
          <w:sz w:val="21"/>
          <w:szCs w:val="21"/>
          <w:highlight w:val="none"/>
          <w:u w:val="single"/>
          <w:lang w:val="en-US" w:eastAsia="zh-CN"/>
        </w:rPr>
        <w:t xml:space="preserve">DSE-GK-2026-002 </w:t>
      </w:r>
      <w:r>
        <w:rPr>
          <w:rFonts w:hint="eastAsia" w:ascii="宋体" w:hAnsi="宋体" w:eastAsia="宋体" w:cs="宋体"/>
          <w:color w:val="auto"/>
          <w:sz w:val="21"/>
          <w:szCs w:val="21"/>
          <w:highlight w:val="none"/>
        </w:rPr>
        <w:t>）进行国内公开采购，欢迎符合采购文件要求的国内投标人参加投标。有关事项如下：</w:t>
      </w:r>
    </w:p>
    <w:p w14:paraId="3B77E2D9">
      <w:pPr>
        <w:spacing w:line="324" w:lineRule="auto"/>
        <w:ind w:firstLine="295" w:firstLineChars="196"/>
        <w:rPr>
          <w:rFonts w:hint="eastAsia" w:ascii="宋体" w:hAnsi="宋体" w:eastAsia="宋体" w:cs="宋体"/>
          <w:b/>
          <w:color w:val="auto"/>
          <w:sz w:val="15"/>
          <w:szCs w:val="15"/>
          <w:highlight w:val="none"/>
        </w:rPr>
      </w:pPr>
    </w:p>
    <w:p w14:paraId="594D8971">
      <w:pPr>
        <w:snapToGrid/>
        <w:spacing w:line="324" w:lineRule="auto"/>
        <w:ind w:firstLine="413"/>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一、采购项目概况</w:t>
      </w:r>
    </w:p>
    <w:p w14:paraId="76B65D21">
      <w:pPr>
        <w:snapToGrid/>
        <w:spacing w:line="324"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1、采购项目名称：</w:t>
      </w:r>
      <w:r>
        <w:rPr>
          <w:rFonts w:hint="eastAsia" w:ascii="宋体" w:hAnsi="宋体" w:cs="宋体"/>
          <w:b/>
          <w:color w:val="auto"/>
          <w:sz w:val="21"/>
          <w:szCs w:val="21"/>
          <w:highlight w:val="none"/>
          <w:u w:val="single"/>
          <w:lang w:eastAsia="zh-CN"/>
        </w:rPr>
        <w:t>麻涌餐厨项目预处理系统提效工程环保技术服务项目（重新采购）</w:t>
      </w:r>
    </w:p>
    <w:p w14:paraId="26979877">
      <w:pPr>
        <w:snapToGrid/>
        <w:spacing w:line="324"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2、预算金额（元）：</w:t>
      </w:r>
      <w:r>
        <w:rPr>
          <w:rFonts w:hint="eastAsia" w:ascii="宋体" w:hAnsi="宋体" w:cs="宋体"/>
          <w:color w:val="auto"/>
          <w:sz w:val="21"/>
          <w:szCs w:val="21"/>
          <w:highlight w:val="none"/>
          <w:u w:val="single"/>
          <w:lang w:val="en-US" w:eastAsia="zh-CN"/>
        </w:rPr>
        <w:t xml:space="preserve"> / </w:t>
      </w:r>
    </w:p>
    <w:p w14:paraId="05F462BC">
      <w:pPr>
        <w:snapToGrid/>
        <w:spacing w:line="324" w:lineRule="auto"/>
        <w:ind w:firstLine="420" w:firstLineChars="200"/>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3、最高限价（元）：</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530,000.00</w:t>
      </w:r>
      <w:r>
        <w:rPr>
          <w:rFonts w:hint="eastAsia" w:ascii="宋体" w:hAnsi="宋体" w:eastAsia="宋体" w:cs="宋体"/>
          <w:color w:val="auto"/>
          <w:sz w:val="21"/>
          <w:szCs w:val="21"/>
          <w:highlight w:val="none"/>
          <w:u w:val="single"/>
        </w:rPr>
        <w:t>元</w:t>
      </w:r>
    </w:p>
    <w:p w14:paraId="647371AA">
      <w:pPr>
        <w:snapToGrid/>
        <w:spacing w:line="324" w:lineRule="auto"/>
        <w:ind w:firstLine="420" w:firstLineChars="200"/>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项目内容</w:t>
      </w:r>
    </w:p>
    <w:tbl>
      <w:tblPr>
        <w:tblStyle w:val="32"/>
        <w:tblW w:w="46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637"/>
        <w:gridCol w:w="2235"/>
        <w:gridCol w:w="976"/>
        <w:gridCol w:w="2802"/>
        <w:gridCol w:w="1731"/>
      </w:tblGrid>
      <w:tr w14:paraId="12AB0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380" w:type="pct"/>
            <w:vAlign w:val="center"/>
          </w:tcPr>
          <w:p w14:paraId="221825DB">
            <w:pPr>
              <w:snapToGrid/>
              <w:spacing w:line="240" w:lineRule="auto"/>
              <w:jc w:val="center"/>
              <w:rPr>
                <w:rFonts w:ascii="Times New Roman" w:hAnsi="Times New Roman" w:cs="Times New Roman"/>
                <w:szCs w:val="21"/>
              </w:rPr>
            </w:pPr>
            <w:r>
              <w:rPr>
                <w:rFonts w:ascii="Times New Roman" w:hAnsi="Times New Roman" w:cs="Times New Roman"/>
                <w:b/>
                <w:szCs w:val="21"/>
              </w:rPr>
              <w:t>序号</w:t>
            </w:r>
          </w:p>
        </w:tc>
        <w:tc>
          <w:tcPr>
            <w:tcW w:w="1333" w:type="pct"/>
            <w:vAlign w:val="center"/>
          </w:tcPr>
          <w:p w14:paraId="5BE1E14A">
            <w:pPr>
              <w:snapToGrid/>
              <w:spacing w:line="240" w:lineRule="auto"/>
              <w:jc w:val="center"/>
              <w:rPr>
                <w:rFonts w:ascii="Times New Roman" w:hAnsi="Times New Roman" w:cs="Times New Roman"/>
                <w:b/>
                <w:szCs w:val="21"/>
              </w:rPr>
            </w:pPr>
            <w:r>
              <w:rPr>
                <w:rFonts w:ascii="Times New Roman" w:hAnsi="Times New Roman" w:cs="Times New Roman"/>
                <w:b/>
                <w:szCs w:val="21"/>
              </w:rPr>
              <w:t>采购标的</w:t>
            </w:r>
          </w:p>
        </w:tc>
        <w:tc>
          <w:tcPr>
            <w:tcW w:w="582" w:type="pct"/>
            <w:vAlign w:val="center"/>
          </w:tcPr>
          <w:p w14:paraId="3627E257">
            <w:pPr>
              <w:snapToGrid/>
              <w:spacing w:line="240" w:lineRule="auto"/>
              <w:jc w:val="center"/>
              <w:rPr>
                <w:rFonts w:ascii="Times New Roman" w:hAnsi="Times New Roman" w:cs="Times New Roman"/>
                <w:b/>
                <w:szCs w:val="21"/>
              </w:rPr>
            </w:pPr>
            <w:r>
              <w:rPr>
                <w:rFonts w:ascii="Times New Roman" w:hAnsi="Times New Roman" w:cs="Times New Roman"/>
                <w:b/>
                <w:szCs w:val="21"/>
              </w:rPr>
              <w:t>数量</w:t>
            </w:r>
          </w:p>
          <w:p w14:paraId="180EFC16">
            <w:pPr>
              <w:snapToGrid/>
              <w:spacing w:line="240" w:lineRule="auto"/>
              <w:jc w:val="center"/>
              <w:rPr>
                <w:rFonts w:ascii="Times New Roman" w:hAnsi="Times New Roman" w:cs="Times New Roman"/>
                <w:b/>
                <w:szCs w:val="21"/>
              </w:rPr>
            </w:pPr>
            <w:r>
              <w:rPr>
                <w:rFonts w:ascii="Times New Roman" w:hAnsi="Times New Roman" w:cs="Times New Roman"/>
                <w:b/>
                <w:szCs w:val="21"/>
              </w:rPr>
              <w:t>（单位）</w:t>
            </w:r>
          </w:p>
        </w:tc>
        <w:tc>
          <w:tcPr>
            <w:tcW w:w="1671" w:type="pct"/>
            <w:vAlign w:val="center"/>
          </w:tcPr>
          <w:p w14:paraId="68C85178">
            <w:pPr>
              <w:snapToGrid/>
              <w:spacing w:line="240" w:lineRule="auto"/>
              <w:jc w:val="center"/>
              <w:rPr>
                <w:rFonts w:ascii="Times New Roman" w:hAnsi="Times New Roman" w:cs="Times New Roman"/>
                <w:b/>
                <w:szCs w:val="21"/>
              </w:rPr>
            </w:pPr>
            <w:r>
              <w:rPr>
                <w:rFonts w:ascii="Times New Roman" w:hAnsi="Times New Roman" w:cs="Times New Roman"/>
                <w:b/>
                <w:szCs w:val="21"/>
              </w:rPr>
              <w:t>技术规格、参数及要求</w:t>
            </w:r>
          </w:p>
        </w:tc>
        <w:tc>
          <w:tcPr>
            <w:tcW w:w="1032" w:type="pct"/>
            <w:vAlign w:val="center"/>
          </w:tcPr>
          <w:p w14:paraId="6C382849">
            <w:pPr>
              <w:snapToGrid/>
              <w:spacing w:line="240" w:lineRule="auto"/>
              <w:jc w:val="center"/>
              <w:rPr>
                <w:rFonts w:ascii="Times New Roman" w:hAnsi="Times New Roman" w:cs="Times New Roman"/>
                <w:b/>
                <w:kern w:val="2"/>
                <w:szCs w:val="21"/>
              </w:rPr>
            </w:pPr>
            <w:r>
              <w:rPr>
                <w:rFonts w:ascii="Times New Roman" w:hAnsi="Times New Roman" w:cs="Times New Roman"/>
                <w:b/>
                <w:kern w:val="2"/>
                <w:szCs w:val="21"/>
              </w:rPr>
              <w:t>最高限价</w:t>
            </w:r>
          </w:p>
        </w:tc>
      </w:tr>
      <w:tr w14:paraId="44094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380" w:type="pct"/>
            <w:vAlign w:val="center"/>
          </w:tcPr>
          <w:p w14:paraId="1D15D69F">
            <w:pPr>
              <w:spacing w:line="460" w:lineRule="exact"/>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val="en-US" w:eastAsia="zh-CN"/>
              </w:rPr>
              <w:t>1</w:t>
            </w:r>
          </w:p>
        </w:tc>
        <w:tc>
          <w:tcPr>
            <w:tcW w:w="1333" w:type="pct"/>
            <w:vAlign w:val="center"/>
          </w:tcPr>
          <w:p w14:paraId="7B0F2ED8">
            <w:pPr>
              <w:spacing w:line="460" w:lineRule="exact"/>
              <w:jc w:val="center"/>
              <w:rPr>
                <w:rFonts w:hint="eastAsia" w:asciiTheme="minorEastAsia" w:hAnsiTheme="minorEastAsia" w:eastAsiaTheme="minorEastAsia" w:cstheme="minorEastAsia"/>
                <w:color w:val="000000" w:themeColor="text1"/>
                <w:szCs w:val="21"/>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eastAsia="zh-CN"/>
                <w14:textFill>
                  <w14:solidFill>
                    <w14:schemeClr w14:val="tx1"/>
                  </w14:solidFill>
                </w14:textFill>
              </w:rPr>
              <w:t>麻涌餐厨项目预处理系统提效工程环保技术服务项目（重新采购）</w:t>
            </w:r>
          </w:p>
        </w:tc>
        <w:tc>
          <w:tcPr>
            <w:tcW w:w="582" w:type="pct"/>
            <w:vAlign w:val="center"/>
          </w:tcPr>
          <w:p w14:paraId="650B58E0">
            <w:pPr>
              <w:spacing w:line="460" w:lineRule="exact"/>
              <w:jc w:val="center"/>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1（项）</w:t>
            </w:r>
          </w:p>
        </w:tc>
        <w:tc>
          <w:tcPr>
            <w:tcW w:w="1671" w:type="pct"/>
            <w:vAlign w:val="center"/>
          </w:tcPr>
          <w:p w14:paraId="220320A1">
            <w:pPr>
              <w:pStyle w:val="48"/>
              <w:snapToGrid w:val="0"/>
              <w:spacing w:line="460" w:lineRule="exact"/>
              <w:ind w:firstLine="0" w:firstLineChars="0"/>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sz w:val="21"/>
                <w:szCs w:val="21"/>
              </w:rPr>
              <w:t>详细内容及要求请查看采购文件《第</w:t>
            </w:r>
            <w:r>
              <w:rPr>
                <w:rFonts w:hint="eastAsia" w:asciiTheme="minorEastAsia" w:hAnsiTheme="minorEastAsia" w:eastAsiaTheme="minorEastAsia" w:cstheme="minorEastAsia"/>
                <w:sz w:val="21"/>
                <w:szCs w:val="21"/>
                <w:lang w:val="en-US" w:eastAsia="zh-CN"/>
              </w:rPr>
              <w:t>三部分</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lang w:val="en-US" w:eastAsia="zh-CN"/>
              </w:rPr>
              <w:t>用户需求书</w:t>
            </w:r>
            <w:r>
              <w:rPr>
                <w:rFonts w:hint="eastAsia" w:asciiTheme="minorEastAsia" w:hAnsiTheme="minorEastAsia" w:eastAsiaTheme="minorEastAsia" w:cstheme="minorEastAsia"/>
                <w:sz w:val="21"/>
                <w:szCs w:val="21"/>
              </w:rPr>
              <w:t>》</w:t>
            </w:r>
          </w:p>
        </w:tc>
        <w:tc>
          <w:tcPr>
            <w:tcW w:w="1032" w:type="pct"/>
            <w:vAlign w:val="center"/>
          </w:tcPr>
          <w:p w14:paraId="54D9BD0D">
            <w:pPr>
              <w:pStyle w:val="48"/>
              <w:snapToGrid w:val="0"/>
              <w:spacing w:line="460" w:lineRule="exact"/>
              <w:ind w:firstLine="0" w:firstLineChars="0"/>
              <w:jc w:val="center"/>
              <w:rPr>
                <w:rFonts w:ascii="Times New Roman" w:hAnsi="Times New Roman" w:eastAsia="宋体" w:cs="Times New Roman"/>
                <w:sz w:val="21"/>
                <w:szCs w:val="21"/>
              </w:rPr>
            </w:pPr>
            <w:r>
              <w:rPr>
                <w:rFonts w:hint="eastAsia" w:ascii="宋体" w:hAnsi="宋体" w:cs="宋体"/>
                <w:color w:val="auto"/>
                <w:sz w:val="21"/>
                <w:szCs w:val="21"/>
                <w:highlight w:val="none"/>
                <w:u w:val="none"/>
                <w:lang w:val="en-US" w:eastAsia="zh-CN"/>
              </w:rPr>
              <w:t>530,000.00</w:t>
            </w:r>
            <w:r>
              <w:rPr>
                <w:rFonts w:hint="eastAsia" w:ascii="Times New Roman" w:hAnsi="Times New Roman" w:eastAsia="宋体" w:cs="Times New Roman"/>
                <w:sz w:val="21"/>
                <w:szCs w:val="21"/>
              </w:rPr>
              <w:t>元</w:t>
            </w:r>
          </w:p>
        </w:tc>
      </w:tr>
    </w:tbl>
    <w:p w14:paraId="0107702E">
      <w:pPr>
        <w:snapToGrid/>
        <w:spacing w:before="164" w:beforeLines="50" w:line="324"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项目需求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详细内容请参阅采购文件第三部分《用户需求书》。</w:t>
      </w:r>
    </w:p>
    <w:p w14:paraId="726D657B">
      <w:pPr>
        <w:spacing w:line="324" w:lineRule="auto"/>
        <w:ind w:firstLine="413" w:firstLineChars="196"/>
        <w:rPr>
          <w:rFonts w:hint="eastAsia" w:ascii="宋体" w:hAnsi="宋体" w:eastAsia="宋体" w:cs="宋体"/>
          <w:b/>
          <w:color w:val="auto"/>
          <w:sz w:val="21"/>
          <w:szCs w:val="21"/>
          <w:highlight w:val="none"/>
        </w:rPr>
      </w:pPr>
    </w:p>
    <w:p w14:paraId="483C7128">
      <w:pPr>
        <w:spacing w:line="324" w:lineRule="auto"/>
        <w:ind w:firstLine="413" w:firstLineChars="196"/>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二、投标人资格要求</w:t>
      </w:r>
    </w:p>
    <w:p w14:paraId="56B0C401">
      <w:pPr>
        <w:snapToGrid/>
        <w:spacing w:line="324" w:lineRule="auto"/>
        <w:ind w:firstLine="411" w:firstLineChars="196"/>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1、一般要求：</w:t>
      </w:r>
    </w:p>
    <w:p w14:paraId="00251DAA">
      <w:pPr>
        <w:snapToGrid/>
        <w:spacing w:line="324"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投标人须为在中华人民共和国境内登记注册的具有独立承担民事责任能力的法人或其他组织【提供《营业执照》复印件（加盖公章）或《事业单位法人证书》复印件（加盖公章）或其他主体证书复印件（加盖公章）】。</w:t>
      </w:r>
    </w:p>
    <w:p w14:paraId="425BB3F2">
      <w:pPr>
        <w:snapToGrid/>
        <w:spacing w:line="324"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（2）参加采购活动前三年内，在经营活动中没有重大违法记录（须提供书面声明）。重大违法记录，是指</w:t>
      </w:r>
      <w:r>
        <w:rPr>
          <w:rFonts w:hint="eastAsia" w:asciiTheme="minorEastAsia" w:hAnsiTheme="minorEastAsia" w:eastAsiaTheme="minorEastAsia" w:cstheme="minorEastAsia"/>
          <w:color w:val="auto"/>
          <w:sz w:val="21"/>
          <w:szCs w:val="21"/>
          <w:highlight w:val="none"/>
          <w:lang w:val="en-US" w:eastAsia="zh-CN"/>
        </w:rPr>
        <w:t>供应商</w:t>
      </w:r>
      <w:r>
        <w:rPr>
          <w:rFonts w:hint="eastAsia" w:asciiTheme="minorEastAsia" w:hAnsiTheme="minorEastAsia" w:eastAsiaTheme="minorEastAsia" w:cstheme="minorEastAsia"/>
          <w:color w:val="auto"/>
          <w:sz w:val="21"/>
          <w:szCs w:val="21"/>
          <w:highlight w:val="none"/>
        </w:rPr>
        <w:t>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如有最新发文通知，按最新文件执行）。</w:t>
      </w:r>
    </w:p>
    <w:p w14:paraId="26D1302E">
      <w:pPr>
        <w:snapToGrid/>
        <w:spacing w:line="324"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（3）投标人的单位负责人为同一人或者存在直接控股、管理关系的不同投标人，不得参加同一合同项下的采购活动。</w:t>
      </w:r>
    </w:p>
    <w:p w14:paraId="380B3FED">
      <w:pPr>
        <w:snapToGrid/>
        <w:spacing w:line="324"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（4）未被列入“信用中国”网站(www.creditchina.gov.cn )“</w:t>
      </w:r>
      <w:r>
        <w:rPr>
          <w:rFonts w:hint="eastAsia" w:asciiTheme="minorEastAsia" w:hAnsiTheme="minorEastAsia" w:eastAsiaTheme="minorEastAsia" w:cstheme="minorEastAsia"/>
          <w:color w:val="auto"/>
          <w:szCs w:val="21"/>
          <w:highlight w:val="none"/>
        </w:rPr>
        <w:t>失信被执行人或</w:t>
      </w:r>
      <w:r>
        <w:rPr>
          <w:rFonts w:hint="eastAsia" w:asciiTheme="minorEastAsia" w:hAnsiTheme="minorEastAsia" w:eastAsiaTheme="minorEastAsia" w:cstheme="minorEastAsia"/>
          <w:color w:val="auto"/>
          <w:szCs w:val="21"/>
          <w:highlight w:val="none"/>
          <w:lang w:eastAsia="zh-CN"/>
        </w:rPr>
        <w:t>重大税收违法失信主体</w:t>
      </w:r>
      <w:r>
        <w:rPr>
          <w:rFonts w:hint="eastAsia" w:asciiTheme="minorEastAsia" w:hAnsiTheme="minorEastAsia" w:eastAsiaTheme="minorEastAsia" w:cstheme="minorEastAsia"/>
          <w:color w:val="auto"/>
          <w:szCs w:val="21"/>
          <w:highlight w:val="none"/>
          <w:lang w:val="en-US" w:eastAsia="zh-CN"/>
        </w:rPr>
        <w:t>名单</w:t>
      </w:r>
      <w:r>
        <w:rPr>
          <w:rFonts w:hint="eastAsia" w:asciiTheme="minorEastAsia" w:hAnsiTheme="minorEastAsia" w:eastAsiaTheme="minorEastAsia" w:cstheme="minorEastAsia"/>
          <w:color w:val="auto"/>
          <w:szCs w:val="21"/>
          <w:highlight w:val="none"/>
        </w:rPr>
        <w:t>或政府采购严重违法失信行为记录名单</w:t>
      </w:r>
      <w:r>
        <w:rPr>
          <w:rFonts w:hint="eastAsia" w:asciiTheme="minorEastAsia" w:hAnsiTheme="minorEastAsia" w:eastAsiaTheme="minorEastAsia" w:cstheme="minorEastAsia"/>
          <w:color w:val="auto"/>
          <w:sz w:val="21"/>
          <w:szCs w:val="21"/>
          <w:highlight w:val="none"/>
        </w:rPr>
        <w:t>”。以代理机构于投标截止日当天在“信用中国”网站查询结果为准，如相关失信记录已失效，投标人需提供相关证明资料。</w:t>
      </w:r>
    </w:p>
    <w:p w14:paraId="6217F131">
      <w:pPr>
        <w:snapToGrid/>
        <w:spacing w:line="324"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（5）未被列入东实</w:t>
      </w:r>
      <w:r>
        <w:rPr>
          <w:rFonts w:hint="eastAsia" w:asciiTheme="minorEastAsia" w:hAnsiTheme="minorEastAsia" w:eastAsiaTheme="minorEastAsia" w:cstheme="minorEastAsia"/>
          <w:color w:val="auto"/>
          <w:sz w:val="21"/>
          <w:szCs w:val="21"/>
          <w:highlight w:val="none"/>
          <w:lang w:val="en-US" w:eastAsia="zh-CN"/>
        </w:rPr>
        <w:t>环境</w:t>
      </w:r>
      <w:r>
        <w:rPr>
          <w:rFonts w:hint="eastAsia" w:asciiTheme="minorEastAsia" w:hAnsiTheme="minorEastAsia" w:eastAsiaTheme="minorEastAsia" w:cstheme="minorEastAsia"/>
          <w:color w:val="auto"/>
          <w:sz w:val="21"/>
          <w:szCs w:val="21"/>
          <w:highlight w:val="none"/>
        </w:rPr>
        <w:t>及下属企业相关领域黑名单。</w:t>
      </w:r>
    </w:p>
    <w:p w14:paraId="792A84A5">
      <w:pPr>
        <w:snapToGrid/>
        <w:spacing w:line="324"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2、其他要求</w:t>
      </w:r>
    </w:p>
    <w:p w14:paraId="2B6B8C46">
      <w:pPr>
        <w:snapToGrid/>
        <w:spacing w:line="324" w:lineRule="auto"/>
        <w:ind w:firstLine="420" w:firstLineChars="200"/>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投标人自2021年</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月1日（以合同签订时间为准）以来至本项目投标截止时间，</w:t>
      </w:r>
      <w:r>
        <w:rPr>
          <w:rFonts w:hint="eastAsia" w:asciiTheme="minorEastAsia" w:hAnsiTheme="minorEastAsia" w:eastAsiaTheme="minorEastAsia" w:cstheme="minorEastAsia"/>
          <w:color w:val="auto"/>
          <w:sz w:val="21"/>
          <w:szCs w:val="21"/>
          <w:highlight w:val="none"/>
          <w:lang w:val="en-US" w:eastAsia="zh-CN"/>
        </w:rPr>
        <w:t>提供</w:t>
      </w:r>
      <w:r>
        <w:rPr>
          <w:rFonts w:hint="eastAsia" w:asciiTheme="minorEastAsia" w:hAnsiTheme="minorEastAsia" w:eastAsiaTheme="minorEastAsia" w:cstheme="minorEastAsia"/>
          <w:color w:val="auto"/>
          <w:sz w:val="21"/>
          <w:szCs w:val="21"/>
          <w:highlight w:val="none"/>
        </w:rPr>
        <w:t>1个</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独立完成项目</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环境影响评价</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报告书</w:t>
      </w:r>
      <w:r>
        <w:rPr>
          <w:rFonts w:hint="eastAsia" w:asciiTheme="minorEastAsia" w:hAnsiTheme="minorEastAsia" w:eastAsiaTheme="minorEastAsia" w:cstheme="minorEastAsia"/>
          <w:b w:val="0"/>
          <w:bCs w:val="0"/>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表</w:t>
      </w:r>
      <w:r>
        <w:rPr>
          <w:rFonts w:hint="eastAsia" w:asciiTheme="minorEastAsia" w:hAnsiTheme="minorEastAsia" w:eastAsiaTheme="minorEastAsia" w:cstheme="minorEastAsia"/>
          <w:b w:val="0"/>
          <w:bCs w:val="0"/>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编制并取得生态环境部门批复</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的</w:t>
      </w:r>
      <w:r>
        <w:rPr>
          <w:rFonts w:hint="eastAsia" w:asciiTheme="minorEastAsia" w:hAnsiTheme="minorEastAsia" w:eastAsiaTheme="minorEastAsia" w:cstheme="minorEastAsia"/>
          <w:color w:val="auto"/>
          <w:sz w:val="21"/>
          <w:szCs w:val="21"/>
          <w:highlight w:val="none"/>
        </w:rPr>
        <w:t>项目业绩</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snapToGrid w:val="0"/>
          <w:color w:val="auto"/>
          <w:sz w:val="21"/>
          <w:szCs w:val="21"/>
          <w:highlight w:val="none"/>
        </w:rPr>
        <w:t>须</w:t>
      </w:r>
      <w:r>
        <w:rPr>
          <w:rFonts w:hint="eastAsia" w:asciiTheme="minorEastAsia" w:hAnsiTheme="minorEastAsia" w:eastAsiaTheme="minorEastAsia" w:cstheme="minorEastAsia"/>
          <w:snapToGrid w:val="0"/>
          <w:color w:val="auto"/>
          <w:sz w:val="21"/>
          <w:szCs w:val="21"/>
          <w:highlight w:val="none"/>
          <w:lang w:val="en-US" w:eastAsia="zh-CN"/>
        </w:rPr>
        <w:t>同时</w:t>
      </w:r>
      <w:r>
        <w:rPr>
          <w:rFonts w:hint="eastAsia" w:asciiTheme="minorEastAsia" w:hAnsiTheme="minorEastAsia" w:eastAsiaTheme="minorEastAsia" w:cstheme="minorEastAsia"/>
          <w:snapToGrid w:val="0"/>
          <w:color w:val="auto"/>
          <w:sz w:val="21"/>
          <w:szCs w:val="21"/>
          <w:highlight w:val="none"/>
        </w:rPr>
        <w:t>提供</w:t>
      </w:r>
      <w:r>
        <w:rPr>
          <w:rFonts w:hint="eastAsia" w:asciiTheme="minorEastAsia" w:hAnsiTheme="minorEastAsia" w:eastAsiaTheme="minorEastAsia" w:cstheme="minorEastAsia"/>
          <w:snapToGrid w:val="0"/>
          <w:color w:val="auto"/>
          <w:sz w:val="21"/>
          <w:szCs w:val="21"/>
          <w:highlight w:val="none"/>
          <w:lang w:val="en-US" w:eastAsia="zh-CN"/>
        </w:rPr>
        <w:t>①</w:t>
      </w:r>
      <w:r>
        <w:rPr>
          <w:rFonts w:hint="eastAsia" w:asciiTheme="minorEastAsia" w:hAnsiTheme="minorEastAsia" w:eastAsiaTheme="minorEastAsia" w:cstheme="minorEastAsia"/>
          <w:snapToGrid w:val="0"/>
          <w:color w:val="auto"/>
          <w:sz w:val="21"/>
          <w:szCs w:val="21"/>
          <w:highlight w:val="none"/>
        </w:rPr>
        <w:t>合同</w:t>
      </w:r>
      <w:r>
        <w:rPr>
          <w:rFonts w:hint="eastAsia" w:asciiTheme="minorEastAsia" w:hAnsiTheme="minorEastAsia" w:eastAsiaTheme="minorEastAsia" w:cstheme="minorEastAsia"/>
          <w:snapToGrid w:val="0"/>
          <w:color w:val="auto"/>
          <w:sz w:val="21"/>
          <w:szCs w:val="21"/>
          <w:highlight w:val="none"/>
          <w:lang w:val="en-US" w:eastAsia="zh-CN"/>
        </w:rPr>
        <w:t>关键页（包含签订日期、服务内容、盖章页等）</w:t>
      </w:r>
      <w:r>
        <w:rPr>
          <w:rFonts w:hint="eastAsia" w:asciiTheme="minorEastAsia" w:hAnsiTheme="minorEastAsia" w:eastAsiaTheme="minorEastAsia" w:cstheme="minorEastAsia"/>
          <w:snapToGrid w:val="0"/>
          <w:color w:val="auto"/>
          <w:sz w:val="21"/>
          <w:szCs w:val="21"/>
          <w:highlight w:val="none"/>
        </w:rPr>
        <w:t>复印件</w:t>
      </w:r>
      <w:r>
        <w:rPr>
          <w:rFonts w:hint="eastAsia" w:asciiTheme="minorEastAsia" w:hAnsiTheme="minorEastAsia" w:eastAsiaTheme="minorEastAsia" w:cstheme="minorEastAsia"/>
          <w:snapToGrid w:val="0"/>
          <w:color w:val="auto"/>
          <w:sz w:val="21"/>
          <w:szCs w:val="21"/>
          <w:highlight w:val="none"/>
          <w:lang w:eastAsia="zh-CN"/>
        </w:rPr>
        <w:t>；</w:t>
      </w:r>
      <w:r>
        <w:rPr>
          <w:rFonts w:hint="eastAsia" w:asciiTheme="minorEastAsia" w:hAnsiTheme="minorEastAsia" w:eastAsiaTheme="minorEastAsia" w:cstheme="minorEastAsia"/>
          <w:snapToGrid w:val="0"/>
          <w:color w:val="auto"/>
          <w:sz w:val="21"/>
          <w:szCs w:val="21"/>
          <w:highlight w:val="none"/>
          <w:lang w:val="en-US" w:eastAsia="zh-CN"/>
        </w:rPr>
        <w:t>②项目</w:t>
      </w:r>
      <w:r>
        <w:rPr>
          <w:rFonts w:hint="eastAsia" w:asciiTheme="minorEastAsia" w:hAnsiTheme="minorEastAsia" w:eastAsiaTheme="minorEastAsia" w:cstheme="minorEastAsia"/>
          <w:snapToGrid w:val="0"/>
          <w:color w:val="auto"/>
          <w:sz w:val="21"/>
          <w:szCs w:val="21"/>
          <w:highlight w:val="none"/>
          <w:lang w:eastAsia="zh-CN"/>
        </w:rPr>
        <w:t>环评批复文件（202</w:t>
      </w:r>
      <w:r>
        <w:rPr>
          <w:rFonts w:hint="eastAsia" w:asciiTheme="minorEastAsia" w:hAnsiTheme="minorEastAsia" w:eastAsiaTheme="minorEastAsia" w:cstheme="minorEastAsia"/>
          <w:snapToGrid w:val="0"/>
          <w:color w:val="auto"/>
          <w:sz w:val="21"/>
          <w:szCs w:val="21"/>
          <w:highlight w:val="none"/>
          <w:lang w:val="en-US" w:eastAsia="zh-CN"/>
        </w:rPr>
        <w:t>1</w:t>
      </w:r>
      <w:r>
        <w:rPr>
          <w:rFonts w:hint="eastAsia" w:asciiTheme="minorEastAsia" w:hAnsiTheme="minorEastAsia" w:eastAsiaTheme="minorEastAsia" w:cstheme="minorEastAsia"/>
          <w:snapToGrid w:val="0"/>
          <w:color w:val="auto"/>
          <w:sz w:val="21"/>
          <w:szCs w:val="21"/>
          <w:highlight w:val="none"/>
          <w:lang w:eastAsia="zh-CN"/>
        </w:rPr>
        <w:t>年</w:t>
      </w:r>
      <w:r>
        <w:rPr>
          <w:rFonts w:hint="eastAsia" w:asciiTheme="minorEastAsia" w:hAnsiTheme="minorEastAsia" w:eastAsiaTheme="minorEastAsia" w:cstheme="minorEastAsia"/>
          <w:snapToGrid w:val="0"/>
          <w:color w:val="auto"/>
          <w:sz w:val="21"/>
          <w:szCs w:val="21"/>
          <w:highlight w:val="none"/>
          <w:lang w:val="en-US" w:eastAsia="zh-CN"/>
        </w:rPr>
        <w:t>1</w:t>
      </w:r>
      <w:r>
        <w:rPr>
          <w:rFonts w:hint="eastAsia" w:asciiTheme="minorEastAsia" w:hAnsiTheme="minorEastAsia" w:eastAsiaTheme="minorEastAsia" w:cstheme="minorEastAsia"/>
          <w:snapToGrid w:val="0"/>
          <w:color w:val="auto"/>
          <w:sz w:val="21"/>
          <w:szCs w:val="21"/>
          <w:highlight w:val="none"/>
          <w:lang w:eastAsia="zh-CN"/>
        </w:rPr>
        <w:t>月1日</w:t>
      </w:r>
      <w:r>
        <w:rPr>
          <w:rFonts w:hint="eastAsia" w:asciiTheme="minorEastAsia" w:hAnsiTheme="minorEastAsia" w:eastAsiaTheme="minorEastAsia" w:cstheme="minorEastAsia"/>
          <w:snapToGrid w:val="0"/>
          <w:color w:val="auto"/>
          <w:sz w:val="21"/>
          <w:szCs w:val="21"/>
          <w:highlight w:val="none"/>
          <w:lang w:val="en-US" w:eastAsia="zh-CN"/>
        </w:rPr>
        <w:t>以后且批复需明确编制单位，未明确编制单位的，补充送审报告中编制单位和编制人员情况表。</w:t>
      </w:r>
      <w:r>
        <w:rPr>
          <w:rFonts w:hint="eastAsia" w:asciiTheme="minorEastAsia" w:hAnsiTheme="minorEastAsia" w:eastAsiaTheme="minorEastAsia" w:cstheme="minorEastAsia"/>
          <w:snapToGrid w:val="0"/>
          <w:color w:val="auto"/>
          <w:sz w:val="21"/>
          <w:szCs w:val="21"/>
          <w:highlight w:val="none"/>
          <w:lang w:eastAsia="zh-CN"/>
        </w:rPr>
        <w:t>）</w:t>
      </w:r>
      <w:r>
        <w:rPr>
          <w:rFonts w:hint="eastAsia" w:asciiTheme="minorEastAsia" w:hAnsiTheme="minorEastAsia" w:eastAsiaTheme="minorEastAsia" w:cstheme="minorEastAsia"/>
          <w:snapToGrid w:val="0"/>
          <w:color w:val="auto"/>
          <w:sz w:val="21"/>
          <w:szCs w:val="21"/>
          <w:highlight w:val="none"/>
        </w:rPr>
        <w:t>并加盖投标人公章</w:t>
      </w:r>
      <w:r>
        <w:rPr>
          <w:rFonts w:hint="eastAsia" w:asciiTheme="minorEastAsia" w:hAnsiTheme="minorEastAsia" w:eastAsiaTheme="minorEastAsia" w:cstheme="minorEastAsia"/>
          <w:color w:val="auto"/>
          <w:sz w:val="21"/>
          <w:szCs w:val="21"/>
          <w:highlight w:val="none"/>
          <w:lang w:eastAsia="zh-CN"/>
        </w:rPr>
        <w:t>】；</w:t>
      </w:r>
    </w:p>
    <w:p w14:paraId="442188CF">
      <w:pPr>
        <w:snapToGrid/>
        <w:spacing w:line="324"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本项目不接受联合体投标。</w:t>
      </w:r>
    </w:p>
    <w:p w14:paraId="500E5D54">
      <w:pPr>
        <w:spacing w:line="324" w:lineRule="auto"/>
        <w:ind w:firstLine="413" w:firstLineChars="196"/>
        <w:rPr>
          <w:rFonts w:hint="eastAsia" w:ascii="宋体" w:hAnsi="宋体" w:eastAsia="宋体" w:cs="宋体"/>
          <w:b/>
          <w:color w:val="auto"/>
          <w:sz w:val="21"/>
          <w:szCs w:val="21"/>
          <w:highlight w:val="none"/>
        </w:rPr>
      </w:pPr>
    </w:p>
    <w:p w14:paraId="113BAD75">
      <w:pPr>
        <w:spacing w:line="324" w:lineRule="auto"/>
        <w:ind w:firstLine="413" w:firstLineChars="196"/>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三、获取采购文件方式及要求：</w:t>
      </w:r>
    </w:p>
    <w:p w14:paraId="1C5DE027">
      <w:pPr>
        <w:wordWrap w:val="0"/>
        <w:snapToGrid/>
        <w:spacing w:line="324"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本项目不进行实名登记报名，拟参加投标的投标人可于投标截止时间前自行网上下载采购文件。采购文件下载地址：</w:t>
      </w:r>
      <w:r>
        <w:rPr>
          <w:rFonts w:hint="eastAsia" w:asciiTheme="minorEastAsia" w:hAnsiTheme="minorEastAsia" w:eastAsiaTheme="minorEastAsia" w:cstheme="minorEastAsia"/>
          <w:color w:val="auto"/>
          <w:sz w:val="21"/>
          <w:szCs w:val="21"/>
          <w:highlight w:val="none"/>
          <w:u w:val="single"/>
        </w:rPr>
        <w:t>中国招标投标公共服务平台（http://www.cebpubservice.com/）、东莞实业投资控股集团有限公司-招标采购栏目（http://www.dgsy.com.cn/）、</w:t>
      </w:r>
      <w:r>
        <w:rPr>
          <w:rFonts w:hint="eastAsia" w:asciiTheme="minorEastAsia" w:hAnsiTheme="minorEastAsia" w:eastAsiaTheme="minorEastAsia" w:cstheme="minorEastAsia"/>
          <w:color w:val="000000" w:themeColor="text1"/>
          <w:szCs w:val="21"/>
          <w:highlight w:val="none"/>
          <w:u w:val="single"/>
          <w14:textFill>
            <w14:solidFill>
              <w14:schemeClr w14:val="tx1"/>
            </w14:solidFill>
          </w14:textFill>
        </w:rPr>
        <w:t>广东东实环境股份有限公司采购平台(https://pur.yonyoucloud.com/core4/GDDSE)</w:t>
      </w:r>
      <w:r>
        <w:rPr>
          <w:rFonts w:hint="eastAsia" w:asciiTheme="minorEastAsia" w:hAnsiTheme="minorEastAsia" w:eastAsiaTheme="minorEastAsia" w:cstheme="minorEastAsia"/>
          <w:color w:val="auto"/>
          <w:sz w:val="21"/>
          <w:szCs w:val="21"/>
          <w:highlight w:val="none"/>
          <w:u w:val="single"/>
          <w:lang w:eastAsia="zh-CN"/>
        </w:rPr>
        <w:t>、广州宏达工程顾问集团有限公司</w:t>
      </w:r>
      <w:r>
        <w:rPr>
          <w:rFonts w:hint="eastAsia" w:asciiTheme="minorEastAsia" w:hAnsiTheme="minorEastAsia" w:eastAsiaTheme="minorEastAsia" w:cstheme="minorEastAsia"/>
          <w:color w:val="auto"/>
          <w:sz w:val="21"/>
          <w:szCs w:val="21"/>
          <w:highlight w:val="none"/>
          <w:u w:val="single"/>
          <w:lang w:val="en-US" w:eastAsia="zh-CN"/>
        </w:rPr>
        <w:t>官</w:t>
      </w:r>
      <w:r>
        <w:rPr>
          <w:rFonts w:hint="eastAsia" w:asciiTheme="minorEastAsia" w:hAnsiTheme="minorEastAsia" w:eastAsiaTheme="minorEastAsia" w:cstheme="minorEastAsia"/>
          <w:color w:val="auto"/>
          <w:sz w:val="21"/>
          <w:szCs w:val="21"/>
          <w:highlight w:val="none"/>
          <w:u w:val="single"/>
        </w:rPr>
        <w:t>网（</w:t>
      </w:r>
      <w:r>
        <w:rPr>
          <w:rFonts w:hint="eastAsia" w:asciiTheme="minorEastAsia" w:hAnsiTheme="minorEastAsia" w:eastAsiaTheme="minorEastAsia" w:cstheme="minorEastAsia"/>
          <w:color w:val="auto"/>
          <w:sz w:val="21"/>
          <w:szCs w:val="21"/>
          <w:highlight w:val="none"/>
          <w:u w:val="single"/>
          <w:lang w:eastAsia="zh-CN"/>
        </w:rPr>
        <w:t>http://www.wangtat.com.cn/</w:t>
      </w:r>
      <w:r>
        <w:rPr>
          <w:rFonts w:hint="eastAsia" w:asciiTheme="minorEastAsia" w:hAnsiTheme="minorEastAsia" w:eastAsiaTheme="minorEastAsia" w:cstheme="minorEastAsia"/>
          <w:color w:val="auto"/>
          <w:sz w:val="21"/>
          <w:szCs w:val="21"/>
          <w:highlight w:val="none"/>
          <w:u w:val="single"/>
        </w:rPr>
        <w:t>）</w:t>
      </w:r>
      <w:r>
        <w:rPr>
          <w:rFonts w:hint="eastAsia" w:asciiTheme="minorEastAsia" w:hAnsiTheme="minorEastAsia" w:eastAsiaTheme="minorEastAsia" w:cstheme="minorEastAsia"/>
          <w:color w:val="auto"/>
          <w:sz w:val="21"/>
          <w:szCs w:val="21"/>
          <w:highlight w:val="none"/>
        </w:rPr>
        <w:t>。</w:t>
      </w:r>
    </w:p>
    <w:p w14:paraId="0CC8C723">
      <w:pPr>
        <w:spacing w:line="324" w:lineRule="auto"/>
        <w:rPr>
          <w:rFonts w:hint="eastAsia" w:ascii="宋体" w:hAnsi="宋体" w:eastAsia="宋体" w:cs="宋体"/>
          <w:color w:val="auto"/>
          <w:sz w:val="21"/>
          <w:szCs w:val="21"/>
          <w:highlight w:val="none"/>
        </w:rPr>
      </w:pPr>
    </w:p>
    <w:p w14:paraId="0DB64E6F">
      <w:pPr>
        <w:snapToGrid/>
        <w:spacing w:line="324" w:lineRule="auto"/>
        <w:ind w:firstLine="413" w:firstLineChars="196"/>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四、投标文件的递交</w:t>
      </w:r>
    </w:p>
    <w:p w14:paraId="544637BF">
      <w:pPr>
        <w:snapToGrid/>
        <w:spacing w:line="324"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1、递交投标文件时间：</w:t>
      </w:r>
      <w:r>
        <w:rPr>
          <w:rFonts w:hint="eastAsia" w:ascii="宋体" w:hAnsi="宋体" w:eastAsia="宋体" w:cs="宋体"/>
          <w:color w:val="auto"/>
          <w:sz w:val="21"/>
          <w:szCs w:val="21"/>
          <w:highlight w:val="none"/>
          <w:u w:val="single"/>
          <w:lang w:eastAsia="zh-CN"/>
        </w:rPr>
        <w:t>202</w:t>
      </w:r>
      <w:r>
        <w:rPr>
          <w:rFonts w:hint="eastAsia" w:ascii="宋体" w:hAnsi="宋体" w:cs="宋体"/>
          <w:color w:val="auto"/>
          <w:sz w:val="21"/>
          <w:szCs w:val="21"/>
          <w:highlight w:val="none"/>
          <w:u w:val="singl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u w:val="single"/>
          <w:lang w:val="en-US" w:eastAsia="zh-CN"/>
        </w:rPr>
        <w:t xml:space="preserve"> 11</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u w:val="single"/>
          <w:lang w:val="en-US" w:eastAsia="zh-CN"/>
        </w:rPr>
        <w:t xml:space="preserve"> 10</w:t>
      </w:r>
      <w:r>
        <w:rPr>
          <w:rFonts w:hint="eastAsia" w:ascii="宋体" w:hAnsi="宋体" w:eastAsia="宋体" w:cs="宋体"/>
          <w:color w:val="auto"/>
          <w:sz w:val="21"/>
          <w:szCs w:val="21"/>
          <w:highlight w:val="none"/>
        </w:rPr>
        <w:t>日（北京时间）</w:t>
      </w:r>
      <w:r>
        <w:rPr>
          <w:rFonts w:hint="eastAsia" w:ascii="宋体" w:hAnsi="宋体" w:cs="宋体"/>
          <w:color w:val="auto"/>
          <w:sz w:val="21"/>
          <w:szCs w:val="21"/>
          <w:highlight w:val="none"/>
          <w:u w:val="single"/>
          <w:lang w:val="en-US" w:eastAsia="zh-CN"/>
        </w:rPr>
        <w:t>14</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u w:val="single"/>
          <w:lang w:val="en-US" w:eastAsia="zh-CN"/>
        </w:rPr>
        <w:t>00</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u w:val="single"/>
          <w:lang w:val="en-US" w:eastAsia="zh-CN"/>
        </w:rPr>
        <w:t>14</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u w:val="single"/>
          <w:lang w:val="en-US" w:eastAsia="zh-CN"/>
        </w:rPr>
        <w:t>30</w:t>
      </w:r>
      <w:r>
        <w:rPr>
          <w:rFonts w:hint="eastAsia" w:ascii="宋体" w:hAnsi="宋体" w:eastAsia="宋体" w:cs="宋体"/>
          <w:color w:val="auto"/>
          <w:sz w:val="21"/>
          <w:szCs w:val="21"/>
          <w:highlight w:val="none"/>
        </w:rPr>
        <w:t>。</w:t>
      </w:r>
    </w:p>
    <w:p w14:paraId="318D3175">
      <w:pPr>
        <w:snapToGrid/>
        <w:spacing w:line="324" w:lineRule="auto"/>
        <w:ind w:firstLine="420" w:firstLineChars="20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2、递交投标文件截止及开标时间：</w:t>
      </w:r>
      <w:r>
        <w:rPr>
          <w:rFonts w:hint="eastAsia" w:ascii="宋体" w:hAnsi="宋体" w:eastAsia="宋体" w:cs="宋体"/>
          <w:color w:val="auto"/>
          <w:sz w:val="21"/>
          <w:szCs w:val="21"/>
          <w:highlight w:val="none"/>
          <w:u w:val="single"/>
          <w:lang w:eastAsia="zh-CN"/>
        </w:rPr>
        <w:t>202</w:t>
      </w:r>
      <w:r>
        <w:rPr>
          <w:rFonts w:hint="eastAsia" w:ascii="宋体" w:hAnsi="宋体" w:cs="宋体"/>
          <w:color w:val="auto"/>
          <w:sz w:val="21"/>
          <w:szCs w:val="21"/>
          <w:highlight w:val="none"/>
          <w:u w:val="singl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u w:val="single"/>
          <w:lang w:val="en-US" w:eastAsia="zh-CN"/>
        </w:rPr>
        <w:t xml:space="preserve"> 11</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u w:val="single"/>
          <w:lang w:val="en-US" w:eastAsia="zh-CN"/>
        </w:rPr>
        <w:t xml:space="preserve"> 10</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u w:val="single"/>
          <w:lang w:val="en-US" w:eastAsia="zh-CN"/>
        </w:rPr>
        <w:t>14</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u w:val="single"/>
          <w:lang w:val="en-US" w:eastAsia="zh-CN"/>
        </w:rPr>
        <w:t>30</w:t>
      </w:r>
      <w:r>
        <w:rPr>
          <w:rFonts w:hint="eastAsia" w:ascii="宋体" w:hAnsi="宋体" w:eastAsia="宋体" w:cs="宋体"/>
          <w:color w:val="auto"/>
          <w:sz w:val="21"/>
          <w:szCs w:val="21"/>
          <w:highlight w:val="none"/>
        </w:rPr>
        <w:t>（北京时间），所有投标文件应于截止时间之前递交，迟交或以电报、传真形式的投标文件将拒绝接收。</w:t>
      </w:r>
    </w:p>
    <w:p w14:paraId="0A159522">
      <w:pPr>
        <w:snapToGrid/>
        <w:spacing w:line="324"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3、开标地点：</w:t>
      </w:r>
      <w:r>
        <w:rPr>
          <w:rFonts w:hint="eastAsia" w:ascii="宋体" w:hAnsi="宋体" w:cs="宋体"/>
          <w:color w:val="auto"/>
          <w:sz w:val="21"/>
          <w:szCs w:val="21"/>
          <w:highlight w:val="none"/>
          <w:u w:val="single"/>
          <w:lang w:val="en-US" w:eastAsia="zh-CN"/>
        </w:rPr>
        <w:t>广东省东莞市南城街道宏图路105号1栋313室开标室</w:t>
      </w:r>
      <w:r>
        <w:rPr>
          <w:rFonts w:hint="eastAsia" w:ascii="宋体" w:hAnsi="宋体" w:eastAsia="宋体" w:cs="宋体"/>
          <w:color w:val="auto"/>
          <w:sz w:val="21"/>
          <w:szCs w:val="21"/>
          <w:highlight w:val="none"/>
          <w:u w:val="single"/>
        </w:rPr>
        <w:t>。</w:t>
      </w:r>
    </w:p>
    <w:p w14:paraId="2DF7308A">
      <w:pPr>
        <w:snapToGrid/>
        <w:spacing w:line="324" w:lineRule="auto"/>
        <w:ind w:firstLine="411" w:firstLineChars="196"/>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4、开标事宜：</w:t>
      </w:r>
      <w:r>
        <w:rPr>
          <w:rFonts w:hint="eastAsia" w:ascii="宋体" w:hAnsi="宋体" w:eastAsia="宋体" w:cs="宋体"/>
          <w:b/>
          <w:bCs/>
          <w:color w:val="auto"/>
          <w:sz w:val="21"/>
          <w:szCs w:val="21"/>
          <w:highlight w:val="none"/>
        </w:rPr>
        <w:t>届时请投标人的法定代表人或其授权代表务必携带有效身份证明出席开标会</w:t>
      </w:r>
      <w:r>
        <w:rPr>
          <w:rFonts w:hint="eastAsia" w:ascii="宋体" w:hAnsi="宋体" w:eastAsia="宋体" w:cs="宋体"/>
          <w:bCs/>
          <w:color w:val="auto"/>
          <w:sz w:val="21"/>
          <w:szCs w:val="21"/>
          <w:highlight w:val="none"/>
        </w:rPr>
        <w:t>。</w:t>
      </w:r>
    </w:p>
    <w:p w14:paraId="644A711E">
      <w:pPr>
        <w:pStyle w:val="42"/>
        <w:snapToGrid/>
        <w:spacing w:line="324"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5、出现以下情形时，采购代理机构不予接收投标（响应）文件：</w:t>
      </w:r>
    </w:p>
    <w:p w14:paraId="1CAB2F92">
      <w:pPr>
        <w:pStyle w:val="42"/>
        <w:snapToGrid/>
        <w:spacing w:line="324"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（1）逾期送达或者未送达指定地点的；</w:t>
      </w:r>
    </w:p>
    <w:p w14:paraId="79731FB4">
      <w:pPr>
        <w:pStyle w:val="42"/>
        <w:snapToGrid/>
        <w:spacing w:line="324"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（2）未按采购文件要求密封的。</w:t>
      </w:r>
    </w:p>
    <w:p w14:paraId="1E93A023">
      <w:pPr>
        <w:pStyle w:val="42"/>
        <w:spacing w:line="324" w:lineRule="auto"/>
        <w:ind w:firstLine="400"/>
        <w:rPr>
          <w:rFonts w:hint="eastAsia" w:ascii="宋体" w:hAnsi="宋体" w:eastAsia="宋体" w:cs="宋体"/>
          <w:color w:val="auto"/>
          <w:sz w:val="21"/>
          <w:szCs w:val="21"/>
          <w:highlight w:val="none"/>
        </w:rPr>
      </w:pPr>
    </w:p>
    <w:p w14:paraId="7ECCF13E">
      <w:pPr>
        <w:pStyle w:val="42"/>
        <w:snapToGrid/>
        <w:spacing w:line="324" w:lineRule="auto"/>
        <w:ind w:firstLine="422"/>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五、发布公告的媒介</w:t>
      </w:r>
    </w:p>
    <w:p w14:paraId="1151FBDA">
      <w:pPr>
        <w:pStyle w:val="42"/>
        <w:snapToGrid/>
        <w:spacing w:line="324"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1、采购公告发布媒介：</w:t>
      </w:r>
    </w:p>
    <w:p w14:paraId="0CCF1441">
      <w:pPr>
        <w:pStyle w:val="42"/>
        <w:snapToGrid/>
        <w:spacing w:line="324"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中国招标投标公共服务平台（http://www.cebpubservice.com/）、东莞实业投资控股集团有限公司-招标采购栏目（http://www.dgsy.com.cn/）、</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广东东实环境股份有限公司采购平台(https://pur.yonyoucloud.com/core4/GDDSE)</w:t>
      </w:r>
      <w:r>
        <w:rPr>
          <w:rFonts w:hint="eastAsia" w:asciiTheme="minorEastAsia" w:hAnsiTheme="minorEastAsia" w:eastAsiaTheme="minorEastAsia" w:cstheme="minorEastAsia"/>
          <w:color w:val="auto"/>
          <w:sz w:val="21"/>
          <w:szCs w:val="21"/>
          <w:highlight w:val="none"/>
          <w:u w:val="single"/>
          <w:lang w:eastAsia="zh-CN"/>
        </w:rPr>
        <w:t>、</w:t>
      </w:r>
      <w:r>
        <w:rPr>
          <w:rFonts w:hint="eastAsia" w:ascii="宋体" w:hAnsi="宋体" w:eastAsia="宋体" w:cs="宋体"/>
          <w:color w:val="auto"/>
          <w:sz w:val="21"/>
          <w:szCs w:val="21"/>
          <w:highlight w:val="none"/>
          <w:u w:val="single"/>
          <w:lang w:eastAsia="zh-CN"/>
        </w:rPr>
        <w:t>广州宏达工程顾问集团有限公司</w:t>
      </w:r>
      <w:r>
        <w:rPr>
          <w:rFonts w:hint="eastAsia" w:ascii="宋体" w:hAnsi="宋体" w:eastAsia="宋体" w:cs="宋体"/>
          <w:color w:val="auto"/>
          <w:sz w:val="21"/>
          <w:szCs w:val="21"/>
          <w:highlight w:val="none"/>
          <w:u w:val="single"/>
          <w:lang w:val="en-US" w:eastAsia="zh-CN"/>
        </w:rPr>
        <w:t>官</w:t>
      </w:r>
      <w:r>
        <w:rPr>
          <w:rFonts w:hint="eastAsia" w:ascii="宋体" w:hAnsi="宋体" w:eastAsia="宋体" w:cs="宋体"/>
          <w:color w:val="auto"/>
          <w:sz w:val="21"/>
          <w:szCs w:val="21"/>
          <w:highlight w:val="none"/>
          <w:u w:val="single"/>
        </w:rPr>
        <w:t>网（</w:t>
      </w:r>
      <w:r>
        <w:rPr>
          <w:rFonts w:hint="eastAsia" w:ascii="宋体" w:hAnsi="宋体" w:eastAsia="宋体" w:cs="宋体"/>
          <w:color w:val="auto"/>
          <w:sz w:val="21"/>
          <w:szCs w:val="21"/>
          <w:highlight w:val="none"/>
          <w:u w:val="single"/>
          <w:lang w:eastAsia="zh-CN"/>
        </w:rPr>
        <w:t>http://www.wangtat.com.cn/</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101C0A0C">
      <w:pPr>
        <w:pStyle w:val="42"/>
        <w:snapToGrid/>
        <w:spacing w:line="324"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2、结果公告发布媒介：</w:t>
      </w:r>
    </w:p>
    <w:p w14:paraId="6B82F440">
      <w:pPr>
        <w:pStyle w:val="42"/>
        <w:snapToGrid/>
        <w:spacing w:line="324" w:lineRule="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u w:val="single"/>
        </w:rPr>
        <w:t>东莞实业投资控股集团有限公司-招标采购栏目（http://www.dgsy.com.cn/）</w:t>
      </w:r>
      <w:r>
        <w:rPr>
          <w:rFonts w:hint="eastAsia" w:ascii="宋体" w:hAnsi="宋体" w:eastAsia="宋体" w:cs="宋体"/>
          <w:color w:val="auto"/>
          <w:sz w:val="21"/>
          <w:szCs w:val="21"/>
          <w:highlight w:val="none"/>
        </w:rPr>
        <w:t>。</w:t>
      </w:r>
    </w:p>
    <w:p w14:paraId="74225F94">
      <w:pPr>
        <w:snapToGrid/>
        <w:spacing w:line="324" w:lineRule="auto"/>
        <w:ind w:firstLine="413" w:firstLineChars="196"/>
        <w:rPr>
          <w:rFonts w:hint="eastAsia" w:ascii="宋体" w:hAnsi="宋体" w:eastAsia="宋体" w:cs="宋体"/>
          <w:b/>
          <w:color w:val="auto"/>
          <w:sz w:val="21"/>
          <w:szCs w:val="21"/>
          <w:highlight w:val="none"/>
        </w:rPr>
      </w:pPr>
    </w:p>
    <w:p w14:paraId="260BFED6">
      <w:pPr>
        <w:snapToGrid/>
        <w:spacing w:line="324" w:lineRule="auto"/>
        <w:ind w:firstLine="413" w:firstLineChars="196"/>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t>六、采购人及采购代理机构的名称、地址和联系方法：</w:t>
      </w:r>
    </w:p>
    <w:p w14:paraId="0354C11A">
      <w:pPr>
        <w:snapToGrid/>
        <w:spacing w:line="324" w:lineRule="auto"/>
        <w:ind w:firstLine="420" w:firstLineChars="200"/>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采购人名称：</w:t>
      </w:r>
      <w:r>
        <w:rPr>
          <w:rFonts w:hint="eastAsia" w:ascii="宋体" w:hAnsi="宋体" w:cs="宋体"/>
          <w:bCs/>
          <w:color w:val="auto"/>
          <w:sz w:val="21"/>
          <w:szCs w:val="21"/>
          <w:highlight w:val="none"/>
          <w:lang w:eastAsia="zh-CN"/>
        </w:rPr>
        <w:t>广东东实环境股份有限公司</w:t>
      </w:r>
    </w:p>
    <w:p w14:paraId="2BB3D6FD">
      <w:pPr>
        <w:snapToGrid/>
        <w:spacing w:line="324" w:lineRule="auto"/>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采购人联系人：</w:t>
      </w:r>
      <w:r>
        <w:rPr>
          <w:rFonts w:hint="eastAsia" w:ascii="宋体" w:hAnsi="宋体" w:cs="宋体"/>
          <w:bCs/>
          <w:color w:val="auto"/>
          <w:sz w:val="21"/>
          <w:szCs w:val="21"/>
          <w:highlight w:val="none"/>
          <w:lang w:val="en-US" w:eastAsia="zh-CN"/>
        </w:rPr>
        <w:t>杨工</w:t>
      </w:r>
    </w:p>
    <w:p w14:paraId="4152090F">
      <w:pPr>
        <w:snapToGrid/>
        <w:spacing w:line="324" w:lineRule="auto"/>
        <w:ind w:firstLine="420" w:firstLineChars="200"/>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采购人地址：</w:t>
      </w:r>
      <w:r>
        <w:rPr>
          <w:rFonts w:hint="eastAsia" w:ascii="宋体" w:hAnsi="宋体" w:cs="宋体"/>
          <w:bCs/>
          <w:color w:val="auto"/>
          <w:sz w:val="21"/>
          <w:szCs w:val="21"/>
          <w:highlight w:val="none"/>
          <w:lang w:eastAsia="zh-CN"/>
        </w:rPr>
        <w:t>东莞市麻涌镇大步村海心沙岛</w:t>
      </w:r>
    </w:p>
    <w:p w14:paraId="071E74CB">
      <w:pPr>
        <w:snapToGrid/>
        <w:spacing w:line="324" w:lineRule="auto"/>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采购人联系电话：</w:t>
      </w:r>
      <w:r>
        <w:rPr>
          <w:rFonts w:hint="eastAsia" w:ascii="宋体" w:hAnsi="宋体" w:cs="宋体"/>
          <w:bCs/>
          <w:color w:val="auto"/>
          <w:sz w:val="21"/>
          <w:szCs w:val="21"/>
          <w:highlight w:val="none"/>
          <w:lang w:eastAsia="zh-CN"/>
        </w:rPr>
        <w:t>0769-39028733</w:t>
      </w:r>
    </w:p>
    <w:p w14:paraId="3DB0990C">
      <w:pPr>
        <w:snapToGrid/>
        <w:spacing w:line="324" w:lineRule="auto"/>
        <w:ind w:firstLine="420" w:firstLineChars="200"/>
        <w:rPr>
          <w:rFonts w:hint="eastAsia" w:ascii="宋体" w:hAnsi="宋体" w:eastAsia="宋体" w:cs="宋体"/>
          <w:color w:val="auto"/>
          <w:sz w:val="21"/>
          <w:szCs w:val="21"/>
          <w:highlight w:val="none"/>
        </w:rPr>
      </w:pPr>
    </w:p>
    <w:p w14:paraId="3E081119">
      <w:pPr>
        <w:snapToGrid/>
        <w:spacing w:line="324"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采购代理机构名称：</w:t>
      </w:r>
      <w:r>
        <w:rPr>
          <w:rFonts w:hint="eastAsia" w:ascii="宋体" w:hAnsi="宋体" w:cs="宋体"/>
          <w:color w:val="auto"/>
          <w:szCs w:val="21"/>
          <w:highlight w:val="none"/>
          <w:lang w:val="en-US" w:eastAsia="zh-CN"/>
        </w:rPr>
        <w:t>广州宏达工程顾问集团有限公司</w:t>
      </w:r>
    </w:p>
    <w:p w14:paraId="71B178B2">
      <w:pPr>
        <w:snapToGrid/>
        <w:spacing w:line="324"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采购代理机构地址：</w:t>
      </w:r>
      <w:r>
        <w:rPr>
          <w:rFonts w:hint="eastAsia" w:ascii="宋体" w:hAnsi="宋体" w:cs="宋体"/>
          <w:color w:val="auto"/>
          <w:sz w:val="21"/>
          <w:szCs w:val="21"/>
          <w:highlight w:val="none"/>
          <w:lang w:eastAsia="zh-CN"/>
        </w:rPr>
        <w:t>广东省东莞市南城街道宏图路105号1栋313室</w:t>
      </w:r>
    </w:p>
    <w:p w14:paraId="5BDD26DA">
      <w:pPr>
        <w:snapToGrid/>
        <w:spacing w:line="324"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采购代理机构联系人：</w:t>
      </w:r>
      <w:r>
        <w:rPr>
          <w:rFonts w:hint="eastAsia" w:ascii="宋体" w:hAnsi="宋体" w:cs="宋体"/>
          <w:color w:val="auto"/>
          <w:sz w:val="21"/>
          <w:szCs w:val="21"/>
          <w:highlight w:val="none"/>
          <w:lang w:val="en-US" w:eastAsia="zh-CN"/>
        </w:rPr>
        <w:t>李工</w:t>
      </w:r>
    </w:p>
    <w:p w14:paraId="16E95D76">
      <w:pPr>
        <w:snapToGrid/>
        <w:spacing w:line="324"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采购代理机构联系电话：</w:t>
      </w:r>
      <w:r>
        <w:rPr>
          <w:rFonts w:hint="eastAsia" w:ascii="宋体" w:hAnsi="宋体" w:cs="宋体"/>
          <w:color w:val="auto"/>
          <w:sz w:val="21"/>
          <w:szCs w:val="21"/>
          <w:highlight w:val="none"/>
          <w:lang w:eastAsia="zh-CN"/>
        </w:rPr>
        <w:t>0769-28056866-802</w:t>
      </w:r>
    </w:p>
    <w:p w14:paraId="06F6B5F7">
      <w:pPr>
        <w:snapToGrid/>
        <w:spacing w:line="324"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采购代理机构邮箱：</w:t>
      </w:r>
      <w:r>
        <w:rPr>
          <w:rFonts w:hint="eastAsia" w:ascii="宋体" w:hAnsi="宋体"/>
          <w:color w:val="auto"/>
          <w:szCs w:val="21"/>
          <w:highlight w:val="none"/>
          <w:lang w:eastAsia="zh-CN"/>
        </w:rPr>
        <w:t>dgwangtat@163.com</w:t>
      </w:r>
    </w:p>
    <w:p w14:paraId="11B76B30">
      <w:pPr>
        <w:snapToGrid/>
        <w:spacing w:line="360" w:lineRule="auto"/>
        <w:ind w:right="-92" w:rightChars="-44"/>
        <w:jc w:val="right"/>
        <w:rPr>
          <w:rFonts w:hint="eastAsia" w:ascii="宋体" w:hAnsi="宋体" w:eastAsia="宋体" w:cs="宋体"/>
          <w:bCs/>
          <w:color w:val="auto"/>
          <w:sz w:val="21"/>
          <w:szCs w:val="21"/>
          <w:highlight w:val="none"/>
          <w:lang w:eastAsia="zh-CN"/>
        </w:rPr>
      </w:pPr>
    </w:p>
    <w:p w14:paraId="11E96BB8">
      <w:pPr>
        <w:snapToGrid/>
        <w:spacing w:line="360" w:lineRule="auto"/>
        <w:ind w:right="-92" w:rightChars="-44"/>
        <w:jc w:val="righ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广州宏达工程顾问集团有限公司</w:t>
      </w:r>
    </w:p>
    <w:p w14:paraId="38BAAF65">
      <w:pPr>
        <w:snapToGrid/>
        <w:jc w:val="right"/>
        <w:rPr>
          <w:rFonts w:hint="default" w:eastAsia="宋体"/>
          <w:highlight w:val="none"/>
          <w:lang w:val="en-US" w:eastAsia="zh-CN"/>
        </w:rPr>
      </w:pPr>
      <w:r>
        <w:rPr>
          <w:rFonts w:hint="eastAsia" w:ascii="宋体" w:hAnsi="宋体" w:eastAsia="宋体" w:cs="宋体"/>
          <w:color w:val="auto"/>
          <w:sz w:val="21"/>
          <w:szCs w:val="21"/>
          <w:highlight w:val="none"/>
          <w:lang w:eastAsia="zh-CN"/>
        </w:rPr>
        <w:t>202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19日</w:t>
      </w:r>
    </w:p>
    <w:p w14:paraId="6D3636B3">
      <w:pPr>
        <w:ind w:left="6205" w:leftChars="2755" w:hanging="420" w:hangingChars="200"/>
        <w:rPr>
          <w:rFonts w:ascii="黑体" w:hAnsi="宋体" w:eastAsia="黑体"/>
          <w:color w:val="auto"/>
          <w:highlight w:val="none"/>
        </w:rPr>
      </w:pPr>
      <w:r>
        <w:rPr>
          <w:rFonts w:hint="eastAsia" w:ascii="宋体" w:hAnsi="宋体" w:cs="宋体"/>
          <w:color w:val="auto"/>
          <w:szCs w:val="21"/>
          <w:highlight w:val="none"/>
        </w:rPr>
        <w:br w:type="page"/>
      </w:r>
    </w:p>
    <w:p w14:paraId="7403410E">
      <w:pPr>
        <w:pStyle w:val="6"/>
        <w:spacing w:before="0" w:after="0" w:line="240" w:lineRule="auto"/>
        <w:rPr>
          <w:color w:val="auto"/>
          <w:sz w:val="28"/>
          <w:szCs w:val="28"/>
          <w:highlight w:val="none"/>
        </w:rPr>
      </w:pPr>
      <w:bookmarkStart w:id="4" w:name="_Toc25011"/>
      <w:bookmarkStart w:id="5" w:name="_Toc20564"/>
      <w:r>
        <w:rPr>
          <w:rFonts w:hint="eastAsia"/>
          <w:color w:val="auto"/>
          <w:sz w:val="28"/>
          <w:szCs w:val="28"/>
          <w:highlight w:val="none"/>
        </w:rPr>
        <w:t>第二部分</w:t>
      </w:r>
      <w:r>
        <w:rPr>
          <w:rFonts w:hint="eastAsia"/>
          <w:color w:val="auto"/>
          <w:sz w:val="28"/>
          <w:szCs w:val="28"/>
          <w:highlight w:val="none"/>
          <w:lang w:val="en-US" w:eastAsia="zh-CN"/>
        </w:rPr>
        <w:t xml:space="preserve"> </w:t>
      </w:r>
      <w:r>
        <w:rPr>
          <w:rFonts w:hint="eastAsia"/>
          <w:color w:val="auto"/>
          <w:sz w:val="28"/>
          <w:szCs w:val="28"/>
          <w:highlight w:val="none"/>
        </w:rPr>
        <w:t>相关资料表格</w:t>
      </w:r>
      <w:bookmarkEnd w:id="4"/>
      <w:bookmarkEnd w:id="5"/>
    </w:p>
    <w:p w14:paraId="26A927B6">
      <w:pPr>
        <w:pStyle w:val="7"/>
        <w:spacing w:before="0" w:after="0" w:line="240" w:lineRule="auto"/>
        <w:jc w:val="center"/>
        <w:rPr>
          <w:rFonts w:ascii="宋体" w:hAnsi="宋体" w:cs="宋体"/>
          <w:color w:val="auto"/>
          <w:sz w:val="24"/>
          <w:szCs w:val="24"/>
          <w:highlight w:val="none"/>
        </w:rPr>
      </w:pPr>
      <w:bookmarkStart w:id="6" w:name="_Toc14333"/>
      <w:bookmarkStart w:id="7" w:name="_Toc2441"/>
      <w:r>
        <w:rPr>
          <w:rFonts w:hint="eastAsia" w:ascii="宋体" w:hAnsi="宋体" w:cs="宋体"/>
          <w:color w:val="auto"/>
          <w:sz w:val="24"/>
          <w:szCs w:val="24"/>
          <w:highlight w:val="none"/>
        </w:rPr>
        <w:t>附表一：投标资料表</w:t>
      </w:r>
      <w:bookmarkEnd w:id="6"/>
      <w:bookmarkEnd w:id="7"/>
    </w:p>
    <w:tbl>
      <w:tblPr>
        <w:tblStyle w:val="32"/>
        <w:tblW w:w="9532"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108" w:type="dxa"/>
          <w:left w:w="28" w:type="dxa"/>
          <w:bottom w:w="108" w:type="dxa"/>
          <w:right w:w="28" w:type="dxa"/>
        </w:tblCellMar>
      </w:tblPr>
      <w:tblGrid>
        <w:gridCol w:w="878"/>
        <w:gridCol w:w="2608"/>
        <w:gridCol w:w="6046"/>
      </w:tblGrid>
      <w:tr w14:paraId="28F44F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567" w:hRule="atLeast"/>
          <w:jc w:val="center"/>
        </w:trPr>
        <w:tc>
          <w:tcPr>
            <w:tcW w:w="878" w:type="dxa"/>
            <w:tcBorders>
              <w:tl2br w:val="nil"/>
              <w:tr2bl w:val="nil"/>
            </w:tcBorders>
            <w:vAlign w:val="center"/>
          </w:tcPr>
          <w:p w14:paraId="4AACB7C1">
            <w:pPr>
              <w:snapToGrid/>
              <w:spacing w:line="240" w:lineRule="auto"/>
              <w:jc w:val="center"/>
              <w:rPr>
                <w:rFonts w:ascii="宋体" w:hAnsi="宋体"/>
                <w:color w:val="auto"/>
                <w:szCs w:val="21"/>
                <w:highlight w:val="none"/>
              </w:rPr>
            </w:pPr>
            <w:r>
              <w:rPr>
                <w:rFonts w:hint="eastAsia" w:ascii="宋体" w:hAnsi="宋体"/>
                <w:color w:val="auto"/>
                <w:szCs w:val="21"/>
                <w:highlight w:val="none"/>
              </w:rPr>
              <w:t>序号</w:t>
            </w:r>
          </w:p>
        </w:tc>
        <w:tc>
          <w:tcPr>
            <w:tcW w:w="8654" w:type="dxa"/>
            <w:gridSpan w:val="2"/>
            <w:tcBorders>
              <w:tl2br w:val="nil"/>
              <w:tr2bl w:val="nil"/>
            </w:tcBorders>
            <w:vAlign w:val="center"/>
          </w:tcPr>
          <w:p w14:paraId="46C76DEE">
            <w:pPr>
              <w:snapToGrid/>
              <w:spacing w:line="240" w:lineRule="auto"/>
              <w:jc w:val="center"/>
              <w:rPr>
                <w:rFonts w:ascii="宋体" w:hAnsi="宋体"/>
                <w:b/>
                <w:color w:val="auto"/>
                <w:szCs w:val="21"/>
                <w:highlight w:val="none"/>
              </w:rPr>
            </w:pPr>
            <w:r>
              <w:rPr>
                <w:rFonts w:hint="eastAsia" w:ascii="宋体" w:hAnsi="宋体"/>
                <w:b/>
                <w:color w:val="auto"/>
                <w:szCs w:val="21"/>
                <w:highlight w:val="none"/>
              </w:rPr>
              <w:t>内容</w:t>
            </w:r>
          </w:p>
        </w:tc>
      </w:tr>
      <w:tr w14:paraId="574D76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cantSplit/>
          <w:trHeight w:val="541" w:hRule="atLeast"/>
          <w:jc w:val="center"/>
        </w:trPr>
        <w:tc>
          <w:tcPr>
            <w:tcW w:w="9532" w:type="dxa"/>
            <w:gridSpan w:val="3"/>
            <w:tcBorders>
              <w:tl2br w:val="nil"/>
              <w:tr2bl w:val="nil"/>
            </w:tcBorders>
            <w:vAlign w:val="center"/>
          </w:tcPr>
          <w:p w14:paraId="3149A2A1">
            <w:pPr>
              <w:snapToGrid/>
              <w:spacing w:line="240" w:lineRule="auto"/>
              <w:jc w:val="center"/>
              <w:rPr>
                <w:rFonts w:ascii="宋体" w:hAnsi="宋体"/>
                <w:b/>
                <w:color w:val="auto"/>
                <w:szCs w:val="21"/>
                <w:highlight w:val="none"/>
              </w:rPr>
            </w:pPr>
            <w:r>
              <w:rPr>
                <w:rFonts w:hint="eastAsia" w:ascii="宋体" w:hAnsi="宋体"/>
                <w:b/>
                <w:color w:val="auto"/>
                <w:szCs w:val="21"/>
                <w:highlight w:val="none"/>
              </w:rPr>
              <w:t>一、说明</w:t>
            </w:r>
          </w:p>
        </w:tc>
      </w:tr>
      <w:tr w14:paraId="5ADDCA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339" w:hRule="atLeast"/>
          <w:jc w:val="center"/>
        </w:trPr>
        <w:tc>
          <w:tcPr>
            <w:tcW w:w="878" w:type="dxa"/>
            <w:vMerge w:val="restart"/>
            <w:tcBorders>
              <w:tl2br w:val="nil"/>
              <w:tr2bl w:val="nil"/>
            </w:tcBorders>
            <w:vAlign w:val="center"/>
          </w:tcPr>
          <w:p w14:paraId="545B5B36">
            <w:pPr>
              <w:snapToGrid/>
              <w:spacing w:line="240" w:lineRule="auto"/>
              <w:jc w:val="center"/>
              <w:rPr>
                <w:rFonts w:ascii="宋体" w:hAnsi="宋体"/>
                <w:color w:val="auto"/>
                <w:szCs w:val="21"/>
                <w:highlight w:val="none"/>
              </w:rPr>
            </w:pPr>
            <w:r>
              <w:rPr>
                <w:rFonts w:hint="eastAsia" w:ascii="宋体" w:hAnsi="宋体"/>
                <w:color w:val="auto"/>
                <w:szCs w:val="21"/>
                <w:highlight w:val="none"/>
              </w:rPr>
              <w:t>1</w:t>
            </w:r>
          </w:p>
        </w:tc>
        <w:tc>
          <w:tcPr>
            <w:tcW w:w="8654" w:type="dxa"/>
            <w:gridSpan w:val="2"/>
            <w:tcBorders>
              <w:tl2br w:val="nil"/>
              <w:tr2bl w:val="nil"/>
            </w:tcBorders>
            <w:vAlign w:val="center"/>
          </w:tcPr>
          <w:p w14:paraId="61A360B5">
            <w:pPr>
              <w:snapToGrid/>
              <w:spacing w:line="240" w:lineRule="auto"/>
              <w:rPr>
                <w:rFonts w:ascii="宋体" w:hAnsi="宋体"/>
                <w:b/>
                <w:bCs/>
                <w:color w:val="auto"/>
                <w:szCs w:val="21"/>
                <w:highlight w:val="none"/>
              </w:rPr>
            </w:pPr>
            <w:r>
              <w:rPr>
                <w:rFonts w:hint="eastAsia" w:ascii="宋体" w:hAnsi="宋体"/>
                <w:b/>
                <w:bCs/>
                <w:color w:val="auto"/>
                <w:szCs w:val="21"/>
                <w:highlight w:val="none"/>
              </w:rPr>
              <w:t>项目最高限价（</w:t>
            </w:r>
            <w:r>
              <w:rPr>
                <w:rFonts w:hint="eastAsia" w:ascii="宋体" w:hAnsi="宋体"/>
                <w:b/>
                <w:bCs/>
                <w:color w:val="auto"/>
                <w:szCs w:val="21"/>
                <w:highlight w:val="none"/>
                <w:u w:val="none"/>
              </w:rPr>
              <w:t>单位：元</w:t>
            </w:r>
            <w:r>
              <w:rPr>
                <w:rFonts w:hint="eastAsia" w:ascii="宋体" w:hAnsi="宋体"/>
                <w:b/>
                <w:bCs/>
                <w:color w:val="auto"/>
                <w:szCs w:val="21"/>
                <w:highlight w:val="none"/>
              </w:rPr>
              <w:t>）</w:t>
            </w:r>
          </w:p>
        </w:tc>
      </w:tr>
      <w:tr w14:paraId="6B8122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265" w:hRule="atLeast"/>
          <w:jc w:val="center"/>
        </w:trPr>
        <w:tc>
          <w:tcPr>
            <w:tcW w:w="878" w:type="dxa"/>
            <w:vMerge w:val="continue"/>
            <w:tcBorders>
              <w:tl2br w:val="nil"/>
              <w:tr2bl w:val="nil"/>
            </w:tcBorders>
            <w:vAlign w:val="center"/>
          </w:tcPr>
          <w:p w14:paraId="15FBEAF2">
            <w:pPr>
              <w:snapToGrid/>
              <w:spacing w:line="240" w:lineRule="auto"/>
              <w:jc w:val="center"/>
              <w:rPr>
                <w:rFonts w:ascii="宋体" w:hAnsi="宋体"/>
                <w:color w:val="auto"/>
                <w:szCs w:val="21"/>
                <w:highlight w:val="none"/>
              </w:rPr>
            </w:pPr>
          </w:p>
        </w:tc>
        <w:tc>
          <w:tcPr>
            <w:tcW w:w="8654" w:type="dxa"/>
            <w:gridSpan w:val="2"/>
            <w:tcBorders>
              <w:tl2br w:val="nil"/>
              <w:tr2bl w:val="nil"/>
            </w:tcBorders>
            <w:vAlign w:val="center"/>
          </w:tcPr>
          <w:p w14:paraId="0C402F5A">
            <w:pPr>
              <w:snapToGrid/>
              <w:spacing w:line="240" w:lineRule="auto"/>
              <w:rPr>
                <w:rFonts w:ascii="宋体" w:hAnsi="宋体"/>
                <w:b/>
                <w:bCs/>
                <w:color w:val="auto"/>
                <w:szCs w:val="21"/>
                <w:highlight w:val="none"/>
              </w:rPr>
            </w:pPr>
            <w:r>
              <w:rPr>
                <w:rFonts w:hint="eastAsia" w:ascii="宋体" w:hAnsi="宋体"/>
                <w:b/>
                <w:bCs/>
                <w:color w:val="auto"/>
                <w:szCs w:val="21"/>
                <w:highlight w:val="none"/>
              </w:rPr>
              <w:t>¥</w:t>
            </w:r>
            <w:r>
              <w:rPr>
                <w:rFonts w:hint="eastAsia" w:ascii="宋体" w:hAnsi="宋体"/>
                <w:b/>
                <w:bCs/>
                <w:color w:val="auto"/>
                <w:szCs w:val="21"/>
                <w:highlight w:val="none"/>
                <w:lang w:val="en-US" w:eastAsia="zh-CN"/>
              </w:rPr>
              <w:t>530,000.00</w:t>
            </w:r>
            <w:r>
              <w:rPr>
                <w:rFonts w:hint="eastAsia" w:ascii="宋体" w:hAnsi="宋体"/>
                <w:b/>
                <w:bCs/>
                <w:color w:val="auto"/>
                <w:szCs w:val="21"/>
                <w:highlight w:val="none"/>
              </w:rPr>
              <w:t>元（</w:t>
            </w:r>
            <w:r>
              <w:rPr>
                <w:rFonts w:hint="eastAsia" w:ascii="宋体" w:hAnsi="宋体"/>
                <w:b/>
                <w:bCs/>
                <w:color w:val="auto"/>
                <w:szCs w:val="21"/>
                <w:highlight w:val="none"/>
                <w:lang w:val="en-US" w:eastAsia="zh-CN"/>
              </w:rPr>
              <w:t>人民币伍拾叁万元整</w:t>
            </w:r>
            <w:r>
              <w:rPr>
                <w:rFonts w:hint="eastAsia" w:ascii="宋体" w:hAnsi="宋体"/>
                <w:b/>
                <w:bCs/>
                <w:color w:val="auto"/>
                <w:szCs w:val="21"/>
                <w:highlight w:val="none"/>
              </w:rPr>
              <w:t>）</w:t>
            </w:r>
          </w:p>
        </w:tc>
      </w:tr>
      <w:tr w14:paraId="64D9F6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140" w:hRule="atLeast"/>
          <w:jc w:val="center"/>
        </w:trPr>
        <w:tc>
          <w:tcPr>
            <w:tcW w:w="878" w:type="dxa"/>
            <w:vMerge w:val="restart"/>
            <w:tcBorders>
              <w:tl2br w:val="nil"/>
              <w:tr2bl w:val="nil"/>
            </w:tcBorders>
            <w:vAlign w:val="center"/>
          </w:tcPr>
          <w:p w14:paraId="43E41C9F">
            <w:pPr>
              <w:snapToGrid/>
              <w:spacing w:line="240" w:lineRule="auto"/>
              <w:jc w:val="center"/>
              <w:rPr>
                <w:rFonts w:ascii="宋体" w:hAnsi="宋体"/>
                <w:color w:val="auto"/>
                <w:szCs w:val="21"/>
                <w:highlight w:val="none"/>
              </w:rPr>
            </w:pPr>
            <w:r>
              <w:rPr>
                <w:rFonts w:hint="eastAsia" w:ascii="宋体" w:hAnsi="宋体"/>
                <w:color w:val="auto"/>
                <w:szCs w:val="21"/>
                <w:highlight w:val="none"/>
              </w:rPr>
              <w:t>2</w:t>
            </w:r>
          </w:p>
        </w:tc>
        <w:tc>
          <w:tcPr>
            <w:tcW w:w="8654" w:type="dxa"/>
            <w:gridSpan w:val="2"/>
            <w:tcBorders>
              <w:tl2br w:val="nil"/>
              <w:tr2bl w:val="nil"/>
            </w:tcBorders>
            <w:vAlign w:val="center"/>
          </w:tcPr>
          <w:p w14:paraId="436C88E8">
            <w:pPr>
              <w:snapToGrid/>
              <w:spacing w:line="240" w:lineRule="auto"/>
              <w:rPr>
                <w:rFonts w:ascii="宋体" w:hAnsi="宋体"/>
                <w:b/>
                <w:bCs/>
                <w:color w:val="auto"/>
                <w:szCs w:val="21"/>
                <w:highlight w:val="none"/>
              </w:rPr>
            </w:pPr>
            <w:r>
              <w:rPr>
                <w:rFonts w:hint="eastAsia" w:ascii="宋体" w:hAnsi="宋体"/>
                <w:b/>
                <w:bCs/>
                <w:color w:val="auto"/>
                <w:szCs w:val="21"/>
                <w:highlight w:val="none"/>
              </w:rPr>
              <w:t>发包方式</w:t>
            </w:r>
          </w:p>
        </w:tc>
      </w:tr>
      <w:tr w14:paraId="158460C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567" w:hRule="atLeast"/>
          <w:jc w:val="center"/>
        </w:trPr>
        <w:tc>
          <w:tcPr>
            <w:tcW w:w="878" w:type="dxa"/>
            <w:vMerge w:val="continue"/>
            <w:tcBorders>
              <w:tl2br w:val="nil"/>
              <w:tr2bl w:val="nil"/>
            </w:tcBorders>
            <w:vAlign w:val="center"/>
          </w:tcPr>
          <w:p w14:paraId="67A9081E">
            <w:pPr>
              <w:snapToGrid/>
              <w:spacing w:line="240" w:lineRule="auto"/>
              <w:jc w:val="center"/>
              <w:rPr>
                <w:rFonts w:ascii="宋体" w:hAnsi="宋体"/>
                <w:color w:val="auto"/>
                <w:szCs w:val="21"/>
                <w:highlight w:val="none"/>
              </w:rPr>
            </w:pPr>
          </w:p>
        </w:tc>
        <w:tc>
          <w:tcPr>
            <w:tcW w:w="8654" w:type="dxa"/>
            <w:gridSpan w:val="2"/>
            <w:tcBorders>
              <w:tl2br w:val="nil"/>
              <w:tr2bl w:val="nil"/>
            </w:tcBorders>
            <w:vAlign w:val="center"/>
          </w:tcPr>
          <w:p w14:paraId="44C2D18F">
            <w:pPr>
              <w:snapToGrid/>
              <w:spacing w:line="240" w:lineRule="auto"/>
              <w:rPr>
                <w:rFonts w:ascii="宋体" w:hAnsi="宋体"/>
                <w:b/>
                <w:bCs/>
                <w:color w:val="auto"/>
                <w:szCs w:val="21"/>
                <w:highlight w:val="none"/>
              </w:rPr>
            </w:pPr>
            <w:r>
              <w:rPr>
                <w:rFonts w:hint="eastAsia" w:ascii="宋体" w:hAnsi="宋体"/>
                <w:b w:val="0"/>
                <w:bCs w:val="0"/>
                <w:color w:val="auto"/>
                <w:szCs w:val="21"/>
                <w:highlight w:val="none"/>
                <w:lang w:val="en-US" w:eastAsia="zh-CN"/>
              </w:rPr>
              <w:sym w:font="Wingdings" w:char="00FE"/>
            </w:r>
            <w:r>
              <w:rPr>
                <w:rFonts w:hint="eastAsia" w:ascii="宋体" w:hAnsi="宋体"/>
                <w:b/>
                <w:bCs/>
                <w:color w:val="auto"/>
                <w:szCs w:val="21"/>
                <w:highlight w:val="none"/>
              </w:rPr>
              <w:t>固定总价包干；</w:t>
            </w:r>
          </w:p>
          <w:p w14:paraId="1B38BB22">
            <w:pPr>
              <w:snapToGrid/>
              <w:spacing w:line="240" w:lineRule="auto"/>
              <w:rPr>
                <w:rFonts w:ascii="宋体" w:hAnsi="宋体"/>
                <w:b/>
                <w:bCs/>
                <w:color w:val="auto"/>
                <w:szCs w:val="21"/>
                <w:highlight w:val="none"/>
              </w:rPr>
            </w:pPr>
            <w:r>
              <w:rPr>
                <w:rFonts w:hint="eastAsia" w:ascii="宋体" w:hAnsi="宋体"/>
                <w:b w:val="0"/>
                <w:bCs w:val="0"/>
                <w:color w:val="auto"/>
                <w:szCs w:val="21"/>
                <w:highlight w:val="none"/>
                <w:lang w:val="en-US" w:eastAsia="zh-CN"/>
              </w:rPr>
              <w:sym w:font="Wingdings" w:char="00A8"/>
            </w:r>
            <w:r>
              <w:rPr>
                <w:rFonts w:hint="eastAsia" w:ascii="宋体" w:hAnsi="宋体"/>
                <w:b/>
                <w:bCs/>
                <w:color w:val="auto"/>
                <w:szCs w:val="21"/>
                <w:highlight w:val="none"/>
              </w:rPr>
              <w:t>固定单价暂定总价包干；</w:t>
            </w:r>
          </w:p>
          <w:p w14:paraId="5994E5FB">
            <w:pPr>
              <w:snapToGrid/>
              <w:spacing w:line="240" w:lineRule="auto"/>
              <w:rPr>
                <w:rFonts w:ascii="宋体" w:hAnsi="宋体"/>
                <w:b/>
                <w:bCs/>
                <w:color w:val="auto"/>
                <w:szCs w:val="21"/>
                <w:highlight w:val="none"/>
                <w:u w:val="single"/>
              </w:rPr>
            </w:pPr>
            <w:r>
              <w:rPr>
                <w:rFonts w:hint="eastAsia" w:ascii="宋体" w:hAnsi="宋体"/>
                <w:b w:val="0"/>
                <w:bCs w:val="0"/>
                <w:color w:val="auto"/>
                <w:szCs w:val="21"/>
                <w:highlight w:val="none"/>
                <w:lang w:val="en-US" w:eastAsia="zh-CN"/>
              </w:rPr>
              <w:sym w:font="Wingdings" w:char="00A8"/>
            </w:r>
            <w:r>
              <w:rPr>
                <w:rFonts w:hint="eastAsia" w:ascii="宋体" w:hAnsi="宋体"/>
                <w:b/>
                <w:bCs/>
                <w:color w:val="auto"/>
                <w:szCs w:val="21"/>
                <w:highlight w:val="none"/>
              </w:rPr>
              <w:t>费率</w:t>
            </w:r>
            <w:r>
              <w:rPr>
                <w:rFonts w:hint="eastAsia" w:ascii="宋体" w:hAnsi="宋体"/>
                <w:b/>
                <w:bCs/>
                <w:color w:val="auto"/>
                <w:szCs w:val="21"/>
                <w:highlight w:val="none"/>
                <w:u w:val="single"/>
              </w:rPr>
              <w:t xml:space="preserve"> </w:t>
            </w:r>
            <w:r>
              <w:rPr>
                <w:rFonts w:hint="eastAsia" w:ascii="宋体" w:hAnsi="宋体"/>
                <w:b/>
                <w:bCs/>
                <w:color w:val="auto"/>
                <w:szCs w:val="21"/>
                <w:highlight w:val="none"/>
                <w:u w:val="single"/>
                <w:lang w:val="en-US" w:eastAsia="zh-CN"/>
              </w:rPr>
              <w:t xml:space="preserve">       </w:t>
            </w:r>
            <w:r>
              <w:rPr>
                <w:rFonts w:hint="eastAsia" w:ascii="宋体" w:hAnsi="宋体"/>
                <w:b/>
                <w:bCs/>
                <w:color w:val="auto"/>
                <w:szCs w:val="21"/>
                <w:highlight w:val="none"/>
                <w:u w:val="single"/>
              </w:rPr>
              <w:t xml:space="preserve"> </w:t>
            </w:r>
            <w:r>
              <w:rPr>
                <w:rFonts w:hint="eastAsia" w:ascii="宋体" w:hAnsi="宋体"/>
                <w:b/>
                <w:bCs/>
                <w:color w:val="auto"/>
                <w:szCs w:val="21"/>
                <w:highlight w:val="none"/>
                <w:u w:val="none"/>
              </w:rPr>
              <w:t>；</w:t>
            </w:r>
          </w:p>
          <w:p w14:paraId="3F41B46E">
            <w:pPr>
              <w:snapToGrid/>
              <w:spacing w:line="240" w:lineRule="auto"/>
              <w:rPr>
                <w:rFonts w:ascii="宋体" w:hAnsi="宋体"/>
                <w:b/>
                <w:bCs/>
                <w:color w:val="auto"/>
                <w:szCs w:val="21"/>
                <w:highlight w:val="none"/>
              </w:rPr>
            </w:pPr>
            <w:r>
              <w:rPr>
                <w:rFonts w:hint="eastAsia" w:ascii="宋体" w:hAnsi="宋体"/>
                <w:b w:val="0"/>
                <w:bCs w:val="0"/>
                <w:color w:val="auto"/>
                <w:szCs w:val="21"/>
                <w:highlight w:val="none"/>
                <w:lang w:val="en-US" w:eastAsia="zh-CN"/>
              </w:rPr>
              <w:sym w:font="Wingdings" w:char="00A8"/>
            </w:r>
            <w:r>
              <w:rPr>
                <w:rFonts w:hint="eastAsia" w:ascii="宋体" w:hAnsi="宋体"/>
                <w:b/>
                <w:bCs/>
                <w:color w:val="auto"/>
                <w:szCs w:val="21"/>
                <w:highlight w:val="none"/>
              </w:rPr>
              <w:t>其他</w:t>
            </w:r>
            <w:r>
              <w:rPr>
                <w:rFonts w:hint="eastAsia" w:ascii="宋体" w:hAnsi="宋体"/>
                <w:b/>
                <w:bCs/>
                <w:color w:val="auto"/>
                <w:szCs w:val="21"/>
                <w:highlight w:val="none"/>
                <w:u w:val="single"/>
              </w:rPr>
              <w:t xml:space="preserve"> </w:t>
            </w:r>
            <w:r>
              <w:rPr>
                <w:rFonts w:hint="eastAsia" w:ascii="宋体" w:hAnsi="宋体"/>
                <w:b/>
                <w:bCs/>
                <w:color w:val="auto"/>
                <w:szCs w:val="21"/>
                <w:highlight w:val="none"/>
                <w:u w:val="single"/>
                <w:lang w:val="en-US" w:eastAsia="zh-CN"/>
              </w:rPr>
              <w:t xml:space="preserve">       </w:t>
            </w:r>
            <w:r>
              <w:rPr>
                <w:rFonts w:hint="eastAsia" w:ascii="宋体" w:hAnsi="宋体"/>
                <w:b/>
                <w:bCs/>
                <w:color w:val="auto"/>
                <w:szCs w:val="21"/>
                <w:highlight w:val="none"/>
                <w:u w:val="single"/>
              </w:rPr>
              <w:t xml:space="preserve"> </w:t>
            </w:r>
            <w:r>
              <w:rPr>
                <w:rFonts w:hint="eastAsia" w:ascii="宋体" w:hAnsi="宋体"/>
                <w:b/>
                <w:bCs/>
                <w:color w:val="auto"/>
                <w:szCs w:val="21"/>
                <w:highlight w:val="none"/>
              </w:rPr>
              <w:t>；</w:t>
            </w:r>
          </w:p>
        </w:tc>
      </w:tr>
      <w:tr w14:paraId="30C529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278" w:hRule="atLeast"/>
          <w:jc w:val="center"/>
        </w:trPr>
        <w:tc>
          <w:tcPr>
            <w:tcW w:w="878" w:type="dxa"/>
            <w:vMerge w:val="restart"/>
            <w:tcBorders>
              <w:tl2br w:val="nil"/>
              <w:tr2bl w:val="nil"/>
            </w:tcBorders>
            <w:vAlign w:val="center"/>
          </w:tcPr>
          <w:p w14:paraId="3F0324FA">
            <w:pPr>
              <w:snapToGrid/>
              <w:spacing w:line="240" w:lineRule="auto"/>
              <w:jc w:val="center"/>
              <w:rPr>
                <w:rFonts w:ascii="宋体" w:hAnsi="宋体"/>
                <w:color w:val="auto"/>
                <w:szCs w:val="21"/>
                <w:highlight w:val="none"/>
              </w:rPr>
            </w:pPr>
            <w:r>
              <w:rPr>
                <w:rFonts w:hint="eastAsia" w:ascii="宋体" w:hAnsi="宋体"/>
                <w:color w:val="auto"/>
                <w:szCs w:val="21"/>
                <w:highlight w:val="none"/>
              </w:rPr>
              <w:t>3</w:t>
            </w:r>
          </w:p>
        </w:tc>
        <w:tc>
          <w:tcPr>
            <w:tcW w:w="8654" w:type="dxa"/>
            <w:gridSpan w:val="2"/>
            <w:tcBorders>
              <w:tl2br w:val="nil"/>
              <w:tr2bl w:val="nil"/>
            </w:tcBorders>
            <w:vAlign w:val="center"/>
          </w:tcPr>
          <w:p w14:paraId="1FD37D5A">
            <w:pPr>
              <w:snapToGrid/>
              <w:spacing w:line="240" w:lineRule="auto"/>
              <w:rPr>
                <w:rFonts w:ascii="宋体" w:hAnsi="宋体"/>
                <w:b/>
                <w:bCs/>
                <w:color w:val="auto"/>
                <w:szCs w:val="21"/>
                <w:highlight w:val="none"/>
              </w:rPr>
            </w:pPr>
            <w:r>
              <w:rPr>
                <w:rFonts w:hint="eastAsia" w:ascii="宋体" w:hAnsi="宋体"/>
                <w:b/>
                <w:bCs/>
                <w:color w:val="auto"/>
                <w:szCs w:val="21"/>
                <w:highlight w:val="none"/>
              </w:rPr>
              <w:t>是否接受联合体投标</w:t>
            </w:r>
          </w:p>
        </w:tc>
      </w:tr>
      <w:tr w14:paraId="1EC276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567" w:hRule="atLeast"/>
          <w:jc w:val="center"/>
        </w:trPr>
        <w:tc>
          <w:tcPr>
            <w:tcW w:w="878" w:type="dxa"/>
            <w:vMerge w:val="continue"/>
            <w:tcBorders>
              <w:tl2br w:val="nil"/>
              <w:tr2bl w:val="nil"/>
            </w:tcBorders>
            <w:vAlign w:val="center"/>
          </w:tcPr>
          <w:p w14:paraId="76D2DC5E">
            <w:pPr>
              <w:snapToGrid/>
              <w:spacing w:line="240" w:lineRule="auto"/>
              <w:jc w:val="center"/>
              <w:rPr>
                <w:rFonts w:ascii="宋体" w:hAnsi="宋体"/>
                <w:color w:val="auto"/>
                <w:szCs w:val="21"/>
                <w:highlight w:val="none"/>
              </w:rPr>
            </w:pPr>
          </w:p>
        </w:tc>
        <w:tc>
          <w:tcPr>
            <w:tcW w:w="8654" w:type="dxa"/>
            <w:gridSpan w:val="2"/>
            <w:tcBorders>
              <w:tl2br w:val="nil"/>
              <w:tr2bl w:val="nil"/>
            </w:tcBorders>
            <w:vAlign w:val="center"/>
          </w:tcPr>
          <w:p w14:paraId="7310E89C">
            <w:pPr>
              <w:pStyle w:val="45"/>
              <w:snapToGrid/>
              <w:spacing w:line="240" w:lineRule="auto"/>
              <w:ind w:firstLine="0" w:firstLineChars="0"/>
              <w:rPr>
                <w:rFonts w:ascii="宋体" w:hAnsi="宋体" w:cs="宋体"/>
                <w:color w:val="auto"/>
                <w:szCs w:val="21"/>
                <w:highlight w:val="none"/>
              </w:rPr>
            </w:pPr>
            <w:r>
              <w:rPr>
                <w:rFonts w:hint="eastAsia" w:ascii="宋体" w:hAnsi="宋体"/>
                <w:b w:val="0"/>
                <w:bCs w:val="0"/>
                <w:color w:val="auto"/>
                <w:szCs w:val="21"/>
                <w:highlight w:val="none"/>
                <w:lang w:val="en-US" w:eastAsia="zh-CN"/>
              </w:rPr>
              <w:sym w:font="Wingdings" w:char="00A8"/>
            </w:r>
            <w:r>
              <w:rPr>
                <w:rFonts w:hint="eastAsia" w:ascii="宋体" w:hAnsi="宋体" w:cs="宋体"/>
                <w:color w:val="auto"/>
                <w:szCs w:val="21"/>
                <w:highlight w:val="none"/>
              </w:rPr>
              <w:t>是，</w:t>
            </w:r>
            <w:r>
              <w:rPr>
                <w:rFonts w:hint="eastAsia" w:ascii="宋体" w:hAnsi="宋体"/>
                <w:color w:val="auto"/>
                <w:szCs w:val="21"/>
                <w:highlight w:val="none"/>
              </w:rPr>
              <w:t>联合体投标的，应满足下列要求：</w:t>
            </w:r>
            <w:r>
              <w:rPr>
                <w:rFonts w:ascii="宋体" w:hAnsi="宋体"/>
                <w:color w:val="auto"/>
                <w:szCs w:val="21"/>
                <w:highlight w:val="none"/>
                <w:u w:val="single"/>
              </w:rPr>
              <w:t xml:space="preserve">         </w:t>
            </w:r>
            <w:r>
              <w:rPr>
                <w:rFonts w:hint="eastAsia" w:ascii="宋体" w:hAnsi="宋体" w:cs="宋体"/>
                <w:color w:val="auto"/>
                <w:szCs w:val="21"/>
                <w:highlight w:val="none"/>
              </w:rPr>
              <w:t>；</w:t>
            </w:r>
          </w:p>
          <w:p w14:paraId="22223ED3">
            <w:pPr>
              <w:snapToGrid/>
              <w:spacing w:line="240" w:lineRule="auto"/>
              <w:rPr>
                <w:rFonts w:ascii="宋体" w:hAnsi="宋体"/>
                <w:b/>
                <w:bCs/>
                <w:color w:val="auto"/>
                <w:szCs w:val="21"/>
                <w:highlight w:val="none"/>
              </w:rPr>
            </w:pPr>
            <w:r>
              <w:rPr>
                <w:rFonts w:hint="eastAsia" w:ascii="宋体" w:hAnsi="宋体"/>
                <w:b w:val="0"/>
                <w:bCs w:val="0"/>
                <w:color w:val="auto"/>
                <w:szCs w:val="21"/>
                <w:highlight w:val="none"/>
                <w:lang w:val="en-US" w:eastAsia="zh-CN"/>
              </w:rPr>
              <w:sym w:font="Wingdings" w:char="00FE"/>
            </w:r>
            <w:r>
              <w:rPr>
                <w:rFonts w:hint="eastAsia" w:ascii="宋体" w:hAnsi="宋体" w:cs="宋体"/>
                <w:color w:val="auto"/>
                <w:szCs w:val="21"/>
                <w:highlight w:val="none"/>
              </w:rPr>
              <w:t>否；</w:t>
            </w:r>
          </w:p>
        </w:tc>
      </w:tr>
      <w:tr w14:paraId="163282F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90" w:hRule="atLeast"/>
          <w:jc w:val="center"/>
        </w:trPr>
        <w:tc>
          <w:tcPr>
            <w:tcW w:w="878" w:type="dxa"/>
            <w:vMerge w:val="restart"/>
            <w:tcBorders>
              <w:tl2br w:val="nil"/>
              <w:tr2bl w:val="nil"/>
            </w:tcBorders>
            <w:vAlign w:val="center"/>
          </w:tcPr>
          <w:p w14:paraId="5614A0C1">
            <w:pPr>
              <w:snapToGrid/>
              <w:spacing w:line="240" w:lineRule="auto"/>
              <w:jc w:val="center"/>
              <w:rPr>
                <w:rFonts w:ascii="宋体" w:hAnsi="宋体"/>
                <w:color w:val="auto"/>
                <w:szCs w:val="21"/>
                <w:highlight w:val="none"/>
              </w:rPr>
            </w:pPr>
            <w:r>
              <w:rPr>
                <w:rFonts w:hint="eastAsia" w:ascii="宋体" w:hAnsi="宋体"/>
                <w:color w:val="auto"/>
                <w:szCs w:val="21"/>
                <w:highlight w:val="none"/>
              </w:rPr>
              <w:t>4</w:t>
            </w:r>
          </w:p>
        </w:tc>
        <w:tc>
          <w:tcPr>
            <w:tcW w:w="8654" w:type="dxa"/>
            <w:gridSpan w:val="2"/>
            <w:tcBorders>
              <w:tl2br w:val="nil"/>
              <w:tr2bl w:val="nil"/>
            </w:tcBorders>
            <w:vAlign w:val="center"/>
          </w:tcPr>
          <w:p w14:paraId="6EA1765C">
            <w:pPr>
              <w:snapToGrid/>
              <w:spacing w:line="240" w:lineRule="auto"/>
              <w:rPr>
                <w:rFonts w:ascii="宋体" w:hAnsi="宋体"/>
                <w:b/>
                <w:bCs/>
                <w:color w:val="auto"/>
                <w:szCs w:val="21"/>
                <w:highlight w:val="none"/>
              </w:rPr>
            </w:pPr>
            <w:r>
              <w:rPr>
                <w:rFonts w:hint="eastAsia" w:ascii="宋体" w:hAnsi="宋体"/>
                <w:b/>
                <w:bCs/>
                <w:color w:val="auto"/>
                <w:szCs w:val="21"/>
                <w:highlight w:val="none"/>
              </w:rPr>
              <w:t>资金来源</w:t>
            </w:r>
          </w:p>
        </w:tc>
      </w:tr>
      <w:tr w14:paraId="499F1B8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323" w:hRule="atLeast"/>
          <w:jc w:val="center"/>
        </w:trPr>
        <w:tc>
          <w:tcPr>
            <w:tcW w:w="878" w:type="dxa"/>
            <w:vMerge w:val="continue"/>
            <w:tcBorders>
              <w:tl2br w:val="nil"/>
              <w:tr2bl w:val="nil"/>
            </w:tcBorders>
            <w:vAlign w:val="center"/>
          </w:tcPr>
          <w:p w14:paraId="203673B1">
            <w:pPr>
              <w:snapToGrid/>
              <w:spacing w:line="240" w:lineRule="auto"/>
              <w:jc w:val="center"/>
              <w:rPr>
                <w:rFonts w:ascii="宋体" w:hAnsi="宋体"/>
                <w:color w:val="auto"/>
                <w:szCs w:val="21"/>
                <w:highlight w:val="none"/>
              </w:rPr>
            </w:pPr>
          </w:p>
        </w:tc>
        <w:tc>
          <w:tcPr>
            <w:tcW w:w="8654" w:type="dxa"/>
            <w:gridSpan w:val="2"/>
            <w:tcBorders>
              <w:tl2br w:val="nil"/>
              <w:tr2bl w:val="nil"/>
            </w:tcBorders>
            <w:vAlign w:val="center"/>
          </w:tcPr>
          <w:p w14:paraId="68DD86B3">
            <w:pPr>
              <w:snapToGrid/>
              <w:spacing w:line="240" w:lineRule="auto"/>
              <w:rPr>
                <w:rFonts w:ascii="宋体" w:hAnsi="宋体"/>
                <w:b/>
                <w:bCs/>
                <w:color w:val="auto"/>
                <w:szCs w:val="21"/>
                <w:highlight w:val="none"/>
              </w:rPr>
            </w:pPr>
            <w:r>
              <w:rPr>
                <w:rFonts w:hint="eastAsia" w:ascii="宋体" w:hAnsi="宋体"/>
                <w:color w:val="auto"/>
                <w:szCs w:val="21"/>
                <w:highlight w:val="none"/>
                <w:u w:val="single"/>
                <w:lang w:val="en-US" w:eastAsia="zh-CN"/>
              </w:rPr>
              <w:t>自筹资金</w:t>
            </w:r>
            <w:r>
              <w:rPr>
                <w:rFonts w:hint="eastAsia" w:ascii="宋体" w:hAnsi="宋体"/>
                <w:color w:val="auto"/>
                <w:szCs w:val="21"/>
                <w:highlight w:val="none"/>
                <w:u w:val="single"/>
              </w:rPr>
              <w:t>。</w:t>
            </w:r>
          </w:p>
        </w:tc>
      </w:tr>
      <w:tr w14:paraId="4A26F2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285" w:hRule="atLeast"/>
          <w:jc w:val="center"/>
        </w:trPr>
        <w:tc>
          <w:tcPr>
            <w:tcW w:w="878" w:type="dxa"/>
            <w:vMerge w:val="restart"/>
            <w:tcBorders>
              <w:tl2br w:val="nil"/>
              <w:tr2bl w:val="nil"/>
            </w:tcBorders>
            <w:vAlign w:val="center"/>
          </w:tcPr>
          <w:p w14:paraId="2F841D25">
            <w:pPr>
              <w:snapToGrid/>
              <w:spacing w:line="240" w:lineRule="auto"/>
              <w:jc w:val="center"/>
              <w:rPr>
                <w:rFonts w:ascii="宋体" w:hAnsi="宋体"/>
                <w:color w:val="auto"/>
                <w:szCs w:val="21"/>
                <w:highlight w:val="none"/>
              </w:rPr>
            </w:pPr>
            <w:r>
              <w:rPr>
                <w:rFonts w:hint="eastAsia" w:ascii="宋体" w:hAnsi="宋体"/>
                <w:color w:val="auto"/>
                <w:szCs w:val="21"/>
                <w:highlight w:val="none"/>
              </w:rPr>
              <w:t>5</w:t>
            </w:r>
          </w:p>
        </w:tc>
        <w:tc>
          <w:tcPr>
            <w:tcW w:w="8654" w:type="dxa"/>
            <w:gridSpan w:val="2"/>
            <w:tcBorders>
              <w:tl2br w:val="nil"/>
              <w:tr2bl w:val="nil"/>
            </w:tcBorders>
            <w:vAlign w:val="center"/>
          </w:tcPr>
          <w:p w14:paraId="6F4F4981">
            <w:pPr>
              <w:snapToGrid/>
              <w:spacing w:line="240" w:lineRule="auto"/>
              <w:rPr>
                <w:rFonts w:ascii="宋体" w:hAnsi="宋体"/>
                <w:b/>
                <w:color w:val="auto"/>
                <w:szCs w:val="21"/>
                <w:highlight w:val="none"/>
              </w:rPr>
            </w:pPr>
            <w:r>
              <w:rPr>
                <w:rFonts w:hint="eastAsia" w:ascii="宋体" w:hAnsi="宋体"/>
                <w:b/>
                <w:color w:val="auto"/>
                <w:szCs w:val="21"/>
                <w:highlight w:val="none"/>
              </w:rPr>
              <w:t>踏勘现场</w:t>
            </w:r>
          </w:p>
        </w:tc>
      </w:tr>
      <w:tr w14:paraId="6460439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398" w:hRule="atLeast"/>
          <w:jc w:val="center"/>
        </w:trPr>
        <w:tc>
          <w:tcPr>
            <w:tcW w:w="878" w:type="dxa"/>
            <w:vMerge w:val="continue"/>
            <w:tcBorders>
              <w:tl2br w:val="nil"/>
              <w:tr2bl w:val="nil"/>
            </w:tcBorders>
            <w:vAlign w:val="center"/>
          </w:tcPr>
          <w:p w14:paraId="762F166B">
            <w:pPr>
              <w:snapToGrid/>
              <w:spacing w:line="240" w:lineRule="auto"/>
              <w:jc w:val="center"/>
              <w:rPr>
                <w:rFonts w:ascii="宋体" w:hAnsi="宋体"/>
                <w:color w:val="auto"/>
                <w:szCs w:val="21"/>
                <w:highlight w:val="none"/>
              </w:rPr>
            </w:pPr>
          </w:p>
        </w:tc>
        <w:tc>
          <w:tcPr>
            <w:tcW w:w="8654" w:type="dxa"/>
            <w:gridSpan w:val="2"/>
            <w:tcBorders>
              <w:tl2br w:val="nil"/>
              <w:tr2bl w:val="nil"/>
            </w:tcBorders>
            <w:vAlign w:val="center"/>
          </w:tcPr>
          <w:p w14:paraId="11AEEA5B">
            <w:pPr>
              <w:snapToGrid/>
              <w:spacing w:line="240" w:lineRule="auto"/>
              <w:rPr>
                <w:rFonts w:ascii="宋体" w:hAnsi="宋体"/>
                <w:bCs/>
                <w:color w:val="auto"/>
                <w:szCs w:val="21"/>
                <w:highlight w:val="none"/>
              </w:rPr>
            </w:pPr>
            <w:r>
              <w:rPr>
                <w:rFonts w:hint="eastAsia" w:ascii="宋体" w:hAnsi="宋体"/>
                <w:b w:val="0"/>
                <w:bCs w:val="0"/>
                <w:color w:val="auto"/>
                <w:szCs w:val="21"/>
                <w:highlight w:val="none"/>
                <w:lang w:val="en-US" w:eastAsia="zh-CN"/>
              </w:rPr>
              <w:sym w:font="Wingdings" w:char="00FE"/>
            </w:r>
            <w:r>
              <w:rPr>
                <w:rFonts w:hint="eastAsia" w:ascii="宋体" w:hAnsi="宋体"/>
                <w:bCs/>
                <w:color w:val="auto"/>
                <w:szCs w:val="21"/>
                <w:highlight w:val="none"/>
              </w:rPr>
              <w:t>不组织 。</w:t>
            </w:r>
          </w:p>
          <w:p w14:paraId="49E7854F">
            <w:pPr>
              <w:snapToGrid/>
              <w:spacing w:line="240" w:lineRule="auto"/>
              <w:rPr>
                <w:rFonts w:ascii="宋体" w:hAnsi="宋体"/>
                <w:bCs/>
                <w:color w:val="auto"/>
                <w:szCs w:val="21"/>
                <w:highlight w:val="none"/>
              </w:rPr>
            </w:pPr>
            <w:r>
              <w:rPr>
                <w:rFonts w:hint="eastAsia" w:ascii="宋体" w:hAnsi="宋体"/>
                <w:bCs/>
                <w:color w:val="auto"/>
                <w:szCs w:val="21"/>
                <w:highlight w:val="none"/>
              </w:rPr>
              <w:t>□组织，踏勘现场时间、地点：</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w:t>
            </w:r>
          </w:p>
        </w:tc>
      </w:tr>
      <w:tr w14:paraId="5A8282A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cantSplit/>
          <w:trHeight w:val="680" w:hRule="atLeast"/>
          <w:jc w:val="center"/>
        </w:trPr>
        <w:tc>
          <w:tcPr>
            <w:tcW w:w="9532" w:type="dxa"/>
            <w:gridSpan w:val="3"/>
            <w:tcBorders>
              <w:tl2br w:val="nil"/>
              <w:tr2bl w:val="nil"/>
            </w:tcBorders>
            <w:vAlign w:val="center"/>
          </w:tcPr>
          <w:p w14:paraId="6CFD994E">
            <w:pPr>
              <w:snapToGrid/>
              <w:spacing w:line="240" w:lineRule="auto"/>
              <w:jc w:val="center"/>
              <w:rPr>
                <w:rFonts w:ascii="宋体" w:hAnsi="宋体"/>
                <w:b/>
                <w:color w:val="auto"/>
                <w:szCs w:val="21"/>
                <w:highlight w:val="none"/>
              </w:rPr>
            </w:pPr>
            <w:r>
              <w:rPr>
                <w:rFonts w:hint="eastAsia" w:ascii="宋体" w:hAnsi="宋体"/>
                <w:b/>
                <w:color w:val="auto"/>
                <w:szCs w:val="21"/>
                <w:highlight w:val="none"/>
              </w:rPr>
              <w:t>二、投标文件的编制</w:t>
            </w:r>
          </w:p>
        </w:tc>
      </w:tr>
      <w:tr w14:paraId="4C4F131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166" w:hRule="atLeast"/>
          <w:jc w:val="center"/>
        </w:trPr>
        <w:tc>
          <w:tcPr>
            <w:tcW w:w="878" w:type="dxa"/>
            <w:vMerge w:val="restart"/>
            <w:tcBorders>
              <w:tl2br w:val="nil"/>
              <w:tr2bl w:val="nil"/>
            </w:tcBorders>
            <w:vAlign w:val="center"/>
          </w:tcPr>
          <w:p w14:paraId="29E2EE08">
            <w:pPr>
              <w:snapToGrid/>
              <w:spacing w:line="240" w:lineRule="auto"/>
              <w:jc w:val="center"/>
              <w:rPr>
                <w:rFonts w:ascii="宋体" w:hAnsi="宋体"/>
                <w:color w:val="auto"/>
                <w:szCs w:val="21"/>
                <w:highlight w:val="none"/>
              </w:rPr>
            </w:pPr>
            <w:r>
              <w:rPr>
                <w:rFonts w:hint="eastAsia" w:ascii="宋体" w:hAnsi="宋体"/>
                <w:color w:val="auto"/>
                <w:szCs w:val="21"/>
                <w:highlight w:val="none"/>
              </w:rPr>
              <w:t>6</w:t>
            </w:r>
          </w:p>
        </w:tc>
        <w:tc>
          <w:tcPr>
            <w:tcW w:w="8654" w:type="dxa"/>
            <w:gridSpan w:val="2"/>
            <w:tcBorders>
              <w:tl2br w:val="nil"/>
              <w:tr2bl w:val="nil"/>
            </w:tcBorders>
            <w:vAlign w:val="center"/>
          </w:tcPr>
          <w:p w14:paraId="32ED27B8">
            <w:pPr>
              <w:snapToGrid/>
              <w:spacing w:line="240" w:lineRule="auto"/>
              <w:rPr>
                <w:rFonts w:ascii="宋体" w:hAnsi="宋体"/>
                <w:b/>
                <w:color w:val="auto"/>
                <w:szCs w:val="21"/>
                <w:highlight w:val="none"/>
              </w:rPr>
            </w:pPr>
            <w:r>
              <w:rPr>
                <w:rFonts w:hint="eastAsia" w:ascii="宋体" w:hAnsi="宋体"/>
                <w:b/>
                <w:color w:val="auto"/>
                <w:szCs w:val="21"/>
                <w:highlight w:val="none"/>
              </w:rPr>
              <w:t>投标语言</w:t>
            </w:r>
          </w:p>
        </w:tc>
      </w:tr>
      <w:tr w14:paraId="09EB906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215" w:hRule="atLeast"/>
          <w:jc w:val="center"/>
        </w:trPr>
        <w:tc>
          <w:tcPr>
            <w:tcW w:w="878" w:type="dxa"/>
            <w:vMerge w:val="continue"/>
            <w:tcBorders>
              <w:tl2br w:val="nil"/>
              <w:tr2bl w:val="nil"/>
            </w:tcBorders>
            <w:vAlign w:val="center"/>
          </w:tcPr>
          <w:p w14:paraId="303C2656">
            <w:pPr>
              <w:snapToGrid/>
              <w:spacing w:line="240" w:lineRule="auto"/>
              <w:jc w:val="center"/>
              <w:rPr>
                <w:rFonts w:ascii="宋体" w:hAnsi="宋体"/>
                <w:color w:val="auto"/>
                <w:szCs w:val="21"/>
                <w:highlight w:val="none"/>
              </w:rPr>
            </w:pPr>
          </w:p>
        </w:tc>
        <w:tc>
          <w:tcPr>
            <w:tcW w:w="8654" w:type="dxa"/>
            <w:gridSpan w:val="2"/>
            <w:tcBorders>
              <w:tl2br w:val="nil"/>
              <w:tr2bl w:val="nil"/>
            </w:tcBorders>
            <w:vAlign w:val="center"/>
          </w:tcPr>
          <w:p w14:paraId="53D8A3F5">
            <w:pPr>
              <w:snapToGrid/>
              <w:spacing w:line="240" w:lineRule="auto"/>
              <w:rPr>
                <w:rFonts w:ascii="宋体" w:hAnsi="宋体"/>
                <w:b/>
                <w:color w:val="auto"/>
                <w:szCs w:val="21"/>
                <w:highlight w:val="none"/>
              </w:rPr>
            </w:pPr>
            <w:r>
              <w:rPr>
                <w:rFonts w:hint="eastAsia" w:ascii="宋体" w:hAnsi="宋体"/>
                <w:color w:val="auto"/>
                <w:szCs w:val="21"/>
                <w:highlight w:val="none"/>
              </w:rPr>
              <w:t>中文。</w:t>
            </w:r>
          </w:p>
        </w:tc>
      </w:tr>
      <w:tr w14:paraId="2C9A3E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260" w:hRule="atLeast"/>
          <w:jc w:val="center"/>
        </w:trPr>
        <w:tc>
          <w:tcPr>
            <w:tcW w:w="878" w:type="dxa"/>
            <w:vMerge w:val="restart"/>
            <w:tcBorders>
              <w:tl2br w:val="nil"/>
              <w:tr2bl w:val="nil"/>
            </w:tcBorders>
            <w:vAlign w:val="center"/>
          </w:tcPr>
          <w:p w14:paraId="32642FB2">
            <w:pPr>
              <w:snapToGrid/>
              <w:spacing w:line="240" w:lineRule="auto"/>
              <w:jc w:val="center"/>
              <w:rPr>
                <w:rFonts w:ascii="宋体" w:hAnsi="宋体"/>
                <w:color w:val="auto"/>
                <w:szCs w:val="21"/>
                <w:highlight w:val="none"/>
              </w:rPr>
            </w:pPr>
            <w:r>
              <w:rPr>
                <w:rFonts w:hint="eastAsia" w:ascii="宋体" w:hAnsi="宋体"/>
                <w:color w:val="auto"/>
                <w:szCs w:val="21"/>
                <w:highlight w:val="none"/>
              </w:rPr>
              <w:t>7</w:t>
            </w:r>
          </w:p>
        </w:tc>
        <w:tc>
          <w:tcPr>
            <w:tcW w:w="8654" w:type="dxa"/>
            <w:gridSpan w:val="2"/>
            <w:tcBorders>
              <w:tl2br w:val="nil"/>
              <w:tr2bl w:val="nil"/>
            </w:tcBorders>
            <w:vAlign w:val="center"/>
          </w:tcPr>
          <w:p w14:paraId="2101B40B">
            <w:pPr>
              <w:snapToGrid/>
              <w:spacing w:line="240" w:lineRule="auto"/>
              <w:jc w:val="both"/>
              <w:rPr>
                <w:rFonts w:ascii="宋体" w:hAnsi="宋体"/>
                <w:b/>
                <w:color w:val="auto"/>
                <w:szCs w:val="21"/>
                <w:highlight w:val="none"/>
              </w:rPr>
            </w:pPr>
            <w:r>
              <w:rPr>
                <w:rFonts w:hint="eastAsia" w:ascii="宋体" w:hAnsi="宋体"/>
                <w:b/>
                <w:color w:val="auto"/>
                <w:szCs w:val="21"/>
                <w:highlight w:val="none"/>
              </w:rPr>
              <w:t>投标报价</w:t>
            </w:r>
          </w:p>
        </w:tc>
      </w:tr>
      <w:tr w14:paraId="51ECF6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240" w:hRule="atLeast"/>
          <w:jc w:val="center"/>
        </w:trPr>
        <w:tc>
          <w:tcPr>
            <w:tcW w:w="878" w:type="dxa"/>
            <w:vMerge w:val="continue"/>
            <w:tcBorders>
              <w:tl2br w:val="nil"/>
              <w:tr2bl w:val="nil"/>
            </w:tcBorders>
            <w:vAlign w:val="center"/>
          </w:tcPr>
          <w:p w14:paraId="79998F75">
            <w:pPr>
              <w:snapToGrid/>
              <w:spacing w:line="240" w:lineRule="auto"/>
              <w:jc w:val="center"/>
              <w:rPr>
                <w:rFonts w:ascii="宋体" w:hAnsi="宋体"/>
                <w:color w:val="auto"/>
                <w:szCs w:val="21"/>
                <w:highlight w:val="none"/>
              </w:rPr>
            </w:pPr>
          </w:p>
        </w:tc>
        <w:tc>
          <w:tcPr>
            <w:tcW w:w="8654" w:type="dxa"/>
            <w:gridSpan w:val="2"/>
            <w:tcBorders>
              <w:tl2br w:val="nil"/>
              <w:tr2bl w:val="nil"/>
            </w:tcBorders>
            <w:vAlign w:val="center"/>
          </w:tcPr>
          <w:p w14:paraId="73FD0100">
            <w:pPr>
              <w:snapToGrid/>
              <w:spacing w:line="240" w:lineRule="auto"/>
              <w:jc w:val="both"/>
              <w:rPr>
                <w:rFonts w:ascii="宋体" w:hAnsi="宋体"/>
                <w:color w:val="auto"/>
                <w:szCs w:val="21"/>
                <w:highlight w:val="none"/>
              </w:rPr>
            </w:pPr>
            <w:r>
              <w:rPr>
                <w:rFonts w:hint="eastAsia" w:ascii="宋体" w:hAnsi="宋体"/>
                <w:color w:val="auto"/>
                <w:szCs w:val="21"/>
                <w:highlight w:val="none"/>
              </w:rPr>
              <w:t>详见投标人须知。</w:t>
            </w:r>
          </w:p>
        </w:tc>
      </w:tr>
      <w:tr w14:paraId="37D44A1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90" w:hRule="atLeast"/>
          <w:jc w:val="center"/>
        </w:trPr>
        <w:tc>
          <w:tcPr>
            <w:tcW w:w="878" w:type="dxa"/>
            <w:vMerge w:val="restart"/>
            <w:tcBorders>
              <w:tl2br w:val="nil"/>
              <w:tr2bl w:val="nil"/>
            </w:tcBorders>
            <w:vAlign w:val="center"/>
          </w:tcPr>
          <w:p w14:paraId="49F5CEE5">
            <w:pPr>
              <w:snapToGrid/>
              <w:spacing w:line="240" w:lineRule="auto"/>
              <w:jc w:val="center"/>
              <w:rPr>
                <w:rFonts w:ascii="宋体" w:hAnsi="宋体"/>
                <w:color w:val="auto"/>
                <w:szCs w:val="21"/>
                <w:highlight w:val="none"/>
              </w:rPr>
            </w:pPr>
            <w:r>
              <w:rPr>
                <w:rFonts w:hint="eastAsia" w:ascii="宋体" w:hAnsi="宋体"/>
                <w:color w:val="auto"/>
                <w:szCs w:val="21"/>
                <w:highlight w:val="none"/>
              </w:rPr>
              <w:t>8</w:t>
            </w:r>
          </w:p>
        </w:tc>
        <w:tc>
          <w:tcPr>
            <w:tcW w:w="8654" w:type="dxa"/>
            <w:gridSpan w:val="2"/>
            <w:tcBorders>
              <w:tl2br w:val="nil"/>
              <w:tr2bl w:val="nil"/>
            </w:tcBorders>
            <w:vAlign w:val="center"/>
          </w:tcPr>
          <w:p w14:paraId="79058598">
            <w:pPr>
              <w:snapToGrid/>
              <w:spacing w:line="240" w:lineRule="auto"/>
              <w:jc w:val="both"/>
              <w:rPr>
                <w:rFonts w:ascii="宋体" w:hAnsi="宋体"/>
                <w:b/>
                <w:color w:val="auto"/>
                <w:szCs w:val="21"/>
                <w:highlight w:val="none"/>
              </w:rPr>
            </w:pPr>
            <w:r>
              <w:rPr>
                <w:rFonts w:hint="eastAsia" w:ascii="宋体" w:hAnsi="宋体"/>
                <w:b/>
                <w:color w:val="auto"/>
                <w:szCs w:val="21"/>
                <w:highlight w:val="none"/>
              </w:rPr>
              <w:t>投标保证金</w:t>
            </w:r>
          </w:p>
        </w:tc>
      </w:tr>
      <w:tr w14:paraId="6B29B4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441" w:hRule="atLeast"/>
          <w:jc w:val="center"/>
        </w:trPr>
        <w:tc>
          <w:tcPr>
            <w:tcW w:w="878" w:type="dxa"/>
            <w:vMerge w:val="continue"/>
            <w:tcBorders>
              <w:tl2br w:val="nil"/>
              <w:tr2bl w:val="nil"/>
            </w:tcBorders>
            <w:vAlign w:val="center"/>
          </w:tcPr>
          <w:p w14:paraId="0D1B6CFD">
            <w:pPr>
              <w:snapToGrid/>
              <w:spacing w:line="240" w:lineRule="auto"/>
              <w:jc w:val="center"/>
              <w:rPr>
                <w:rFonts w:ascii="宋体" w:hAnsi="宋体"/>
                <w:color w:val="auto"/>
                <w:szCs w:val="21"/>
                <w:highlight w:val="none"/>
              </w:rPr>
            </w:pPr>
          </w:p>
        </w:tc>
        <w:tc>
          <w:tcPr>
            <w:tcW w:w="8654" w:type="dxa"/>
            <w:gridSpan w:val="2"/>
            <w:tcBorders>
              <w:tl2br w:val="nil"/>
              <w:tr2bl w:val="nil"/>
            </w:tcBorders>
            <w:vAlign w:val="center"/>
          </w:tcPr>
          <w:p w14:paraId="41828D74">
            <w:pPr>
              <w:widowControl w:val="0"/>
              <w:snapToGrid/>
              <w:spacing w:line="240" w:lineRule="auto"/>
              <w:jc w:val="both"/>
              <w:rPr>
                <w:rFonts w:ascii="宋体" w:hAnsi="宋体"/>
                <w:color w:val="auto"/>
                <w:szCs w:val="21"/>
                <w:highlight w:val="none"/>
              </w:rPr>
            </w:pPr>
            <w:r>
              <w:rPr>
                <w:rFonts w:hint="eastAsia" w:ascii="宋体" w:hAnsi="宋体"/>
                <w:color w:val="auto"/>
                <w:szCs w:val="21"/>
                <w:highlight w:val="none"/>
              </w:rPr>
              <w:t>（1）投标保证金金额：人民币</w:t>
            </w:r>
            <w:r>
              <w:rPr>
                <w:rFonts w:hint="eastAsia" w:ascii="宋体" w:hAnsi="宋体"/>
                <w:b/>
                <w:color w:val="auto"/>
                <w:szCs w:val="21"/>
                <w:highlight w:val="none"/>
                <w:u w:val="single"/>
              </w:rPr>
              <w:t>（大写）</w:t>
            </w:r>
            <w:r>
              <w:rPr>
                <w:rFonts w:hint="eastAsia" w:ascii="宋体" w:hAnsi="宋体"/>
                <w:b/>
                <w:color w:val="auto"/>
                <w:szCs w:val="21"/>
                <w:highlight w:val="none"/>
                <w:u w:val="single"/>
                <w:lang w:val="en-US" w:eastAsia="zh-CN"/>
              </w:rPr>
              <w:t>壹万零陆佰元整</w:t>
            </w:r>
            <w:r>
              <w:rPr>
                <w:rFonts w:hint="eastAsia" w:ascii="宋体" w:hAnsi="宋体"/>
                <w:color w:val="auto"/>
                <w:szCs w:val="21"/>
                <w:highlight w:val="none"/>
                <w:u w:val="single"/>
              </w:rPr>
              <w:t>（</w:t>
            </w:r>
            <w:r>
              <w:rPr>
                <w:rFonts w:hint="eastAsia" w:ascii="宋体" w:hAnsi="宋体"/>
                <w:b/>
                <w:bCs/>
                <w:color w:val="auto"/>
                <w:szCs w:val="21"/>
                <w:highlight w:val="none"/>
                <w:u w:val="single"/>
                <w:lang w:eastAsia="zh-CN"/>
              </w:rPr>
              <w:t>¥</w:t>
            </w:r>
            <w:r>
              <w:rPr>
                <w:rFonts w:hint="eastAsia" w:ascii="宋体" w:hAnsi="宋体"/>
                <w:b/>
                <w:bCs/>
                <w:color w:val="auto"/>
                <w:szCs w:val="21"/>
                <w:highlight w:val="none"/>
                <w:u w:val="single"/>
                <w:lang w:val="en-US" w:eastAsia="zh-CN"/>
              </w:rPr>
              <w:t>10,600.00</w:t>
            </w:r>
            <w:r>
              <w:rPr>
                <w:rFonts w:hint="eastAsia" w:ascii="宋体" w:hAnsi="宋体"/>
                <w:b/>
                <w:color w:val="auto"/>
                <w:szCs w:val="21"/>
                <w:highlight w:val="none"/>
                <w:u w:val="single"/>
              </w:rPr>
              <w:t>元</w:t>
            </w:r>
            <w:r>
              <w:rPr>
                <w:rFonts w:hint="eastAsia" w:ascii="宋体" w:hAnsi="宋体"/>
                <w:color w:val="auto"/>
                <w:szCs w:val="21"/>
                <w:highlight w:val="none"/>
                <w:u w:val="single"/>
              </w:rPr>
              <w:t>）。</w:t>
            </w:r>
          </w:p>
        </w:tc>
      </w:tr>
      <w:tr w14:paraId="15A55A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4449" w:hRule="atLeast"/>
          <w:jc w:val="center"/>
        </w:trPr>
        <w:tc>
          <w:tcPr>
            <w:tcW w:w="878" w:type="dxa"/>
            <w:vMerge w:val="continue"/>
            <w:tcBorders>
              <w:tl2br w:val="nil"/>
              <w:tr2bl w:val="nil"/>
            </w:tcBorders>
            <w:vAlign w:val="center"/>
          </w:tcPr>
          <w:p w14:paraId="24407FE2">
            <w:pPr>
              <w:snapToGrid/>
              <w:spacing w:line="240" w:lineRule="auto"/>
              <w:jc w:val="center"/>
              <w:rPr>
                <w:rFonts w:ascii="宋体" w:hAnsi="宋体"/>
                <w:color w:val="auto"/>
                <w:szCs w:val="21"/>
                <w:highlight w:val="none"/>
              </w:rPr>
            </w:pPr>
          </w:p>
        </w:tc>
        <w:tc>
          <w:tcPr>
            <w:tcW w:w="8654" w:type="dxa"/>
            <w:gridSpan w:val="2"/>
            <w:tcBorders>
              <w:tl2br w:val="nil"/>
              <w:tr2bl w:val="nil"/>
            </w:tcBorders>
            <w:vAlign w:val="center"/>
          </w:tcPr>
          <w:p w14:paraId="2E91E622">
            <w:pPr>
              <w:widowControl w:val="0"/>
              <w:tabs>
                <w:tab w:val="left" w:pos="567"/>
              </w:tabs>
              <w:snapToGrid/>
              <w:spacing w:line="360" w:lineRule="auto"/>
              <w:jc w:val="both"/>
              <w:rPr>
                <w:rFonts w:hAnsi="宋体"/>
                <w:color w:val="auto"/>
                <w:kern w:val="2"/>
                <w:szCs w:val="21"/>
                <w:highlight w:val="none"/>
                <w:lang w:val="zh-CN"/>
              </w:rPr>
            </w:pPr>
            <w:r>
              <w:rPr>
                <w:rFonts w:hint="eastAsia" w:ascii="宋体" w:hAnsi="宋体"/>
                <w:color w:val="auto"/>
                <w:szCs w:val="21"/>
                <w:highlight w:val="none"/>
              </w:rPr>
              <w:t>（2）</w:t>
            </w:r>
            <w:r>
              <w:rPr>
                <w:rFonts w:hint="eastAsia" w:hAnsi="宋体"/>
                <w:color w:val="auto"/>
                <w:kern w:val="2"/>
                <w:szCs w:val="21"/>
                <w:highlight w:val="none"/>
                <w:lang w:val="zh-CN"/>
              </w:rPr>
              <w:t>投标保证金采用转账、电汇方式提交，应符合以下要求：采用银行转账、电汇方式提交的，保证金汇入以下投标保证金专用账户，不接收由以投标人分支机构、私人账户和其他单位转入的保证金。投标保证金必须在投标文件递交截止前到账，投标保证金未按规定时间到达指定账户或提交金额不足的，将被视为无效投标。且在备注或用途中注明本项目的项目编号。</w:t>
            </w:r>
          </w:p>
          <w:p w14:paraId="46B38233">
            <w:pPr>
              <w:widowControl w:val="0"/>
              <w:tabs>
                <w:tab w:val="left" w:pos="567"/>
              </w:tabs>
              <w:snapToGrid/>
              <w:spacing w:line="360" w:lineRule="auto"/>
              <w:ind w:left="567" w:hanging="567"/>
              <w:jc w:val="both"/>
              <w:rPr>
                <w:rFonts w:hAnsi="宋体"/>
                <w:color w:val="auto"/>
                <w:kern w:val="2"/>
                <w:szCs w:val="21"/>
                <w:highlight w:val="none"/>
                <w:lang w:val="zh-CN"/>
              </w:rPr>
            </w:pPr>
            <w:r>
              <w:rPr>
                <w:rFonts w:hint="eastAsia" w:hAnsi="宋体"/>
                <w:color w:val="auto"/>
                <w:kern w:val="2"/>
                <w:szCs w:val="21"/>
                <w:highlight w:val="none"/>
                <w:lang w:val="zh-CN"/>
              </w:rPr>
              <w:t>投标保证金专用账户如下：</w:t>
            </w:r>
          </w:p>
          <w:p w14:paraId="38548A5E">
            <w:pPr>
              <w:widowControl w:val="0"/>
              <w:tabs>
                <w:tab w:val="left" w:pos="567"/>
              </w:tabs>
              <w:snapToGrid/>
              <w:spacing w:line="360" w:lineRule="auto"/>
              <w:ind w:firstLine="420" w:firstLineChars="200"/>
              <w:jc w:val="both"/>
              <w:rPr>
                <w:rFonts w:hAnsi="宋体" w:cs="宋体"/>
                <w:color w:val="auto"/>
                <w:kern w:val="2"/>
                <w:szCs w:val="21"/>
                <w:highlight w:val="none"/>
                <w:lang w:val="zh-CN"/>
              </w:rPr>
            </w:pPr>
            <w:r>
              <w:rPr>
                <w:rFonts w:hint="eastAsia" w:hAnsi="宋体" w:cs="宋体"/>
                <w:color w:val="auto"/>
                <w:kern w:val="2"/>
                <w:szCs w:val="21"/>
                <w:highlight w:val="none"/>
                <w:lang w:val="zh-CN"/>
              </w:rPr>
              <w:t>账户名称：</w:t>
            </w:r>
            <w:r>
              <w:rPr>
                <w:rFonts w:hint="eastAsia" w:hAnsi="宋体" w:cs="宋体"/>
                <w:color w:val="auto"/>
                <w:kern w:val="2"/>
                <w:szCs w:val="21"/>
                <w:highlight w:val="none"/>
                <w:u w:val="single"/>
                <w:lang w:val="en-US" w:eastAsia="zh-CN"/>
              </w:rPr>
              <w:t xml:space="preserve"> 广东东实环境股份有限公司 </w:t>
            </w:r>
            <w:r>
              <w:rPr>
                <w:rFonts w:hint="eastAsia" w:hAnsi="宋体" w:cs="宋体"/>
                <w:color w:val="auto"/>
                <w:kern w:val="2"/>
                <w:szCs w:val="21"/>
                <w:highlight w:val="none"/>
                <w:u w:val="none"/>
                <w:lang w:val="zh-CN"/>
              </w:rPr>
              <w:t>；</w:t>
            </w:r>
          </w:p>
          <w:p w14:paraId="5259758D">
            <w:pPr>
              <w:widowControl w:val="0"/>
              <w:tabs>
                <w:tab w:val="left" w:pos="567"/>
              </w:tabs>
              <w:snapToGrid/>
              <w:spacing w:line="360" w:lineRule="auto"/>
              <w:ind w:firstLine="420" w:firstLineChars="200"/>
              <w:jc w:val="both"/>
              <w:rPr>
                <w:rFonts w:hAnsi="宋体" w:cs="宋体"/>
                <w:color w:val="auto"/>
                <w:kern w:val="2"/>
                <w:szCs w:val="21"/>
                <w:highlight w:val="none"/>
                <w:lang w:val="zh-CN"/>
              </w:rPr>
            </w:pPr>
            <w:r>
              <w:rPr>
                <w:rFonts w:hint="eastAsia" w:hAnsi="宋体" w:cs="宋体"/>
                <w:color w:val="auto"/>
                <w:kern w:val="2"/>
                <w:szCs w:val="21"/>
                <w:highlight w:val="none"/>
                <w:lang w:val="zh-CN"/>
              </w:rPr>
              <w:t>开户银行：</w:t>
            </w:r>
            <w:r>
              <w:rPr>
                <w:rFonts w:hint="eastAsia" w:hAnsi="宋体" w:cs="宋体"/>
                <w:color w:val="auto"/>
                <w:kern w:val="2"/>
                <w:szCs w:val="21"/>
                <w:highlight w:val="none"/>
                <w:u w:val="single"/>
                <w:lang w:val="en-US" w:eastAsia="zh-CN"/>
              </w:rPr>
              <w:t xml:space="preserve"> 东莞农村商业银行中心支行 </w:t>
            </w:r>
            <w:r>
              <w:rPr>
                <w:rFonts w:hint="eastAsia" w:hAnsi="宋体" w:cs="宋体"/>
                <w:color w:val="auto"/>
                <w:kern w:val="2"/>
                <w:szCs w:val="21"/>
                <w:highlight w:val="none"/>
                <w:u w:val="none"/>
                <w:lang w:val="zh-CN"/>
              </w:rPr>
              <w:t>；</w:t>
            </w:r>
          </w:p>
          <w:p w14:paraId="4A074F1F">
            <w:pPr>
              <w:widowControl w:val="0"/>
              <w:tabs>
                <w:tab w:val="left" w:pos="567"/>
              </w:tabs>
              <w:snapToGrid/>
              <w:spacing w:line="360" w:lineRule="auto"/>
              <w:ind w:firstLine="420" w:firstLineChars="200"/>
              <w:jc w:val="both"/>
              <w:rPr>
                <w:rFonts w:hint="eastAsia" w:ascii="宋体" w:hAnsi="宋体" w:eastAsia="宋体" w:cs="宋体"/>
                <w:color w:val="auto"/>
                <w:kern w:val="2"/>
                <w:szCs w:val="21"/>
                <w:highlight w:val="none"/>
                <w:lang w:val="zh-CN"/>
              </w:rPr>
            </w:pPr>
            <w:r>
              <w:rPr>
                <w:rFonts w:hint="eastAsia" w:hAnsi="宋体" w:cs="宋体"/>
                <w:color w:val="auto"/>
                <w:kern w:val="2"/>
                <w:szCs w:val="21"/>
                <w:highlight w:val="none"/>
                <w:lang w:val="zh-CN"/>
              </w:rPr>
              <w:t>银行账</w:t>
            </w:r>
            <w:r>
              <w:rPr>
                <w:rFonts w:hint="eastAsia" w:ascii="宋体" w:hAnsi="宋体" w:eastAsia="宋体" w:cs="宋体"/>
                <w:color w:val="auto"/>
                <w:kern w:val="2"/>
                <w:szCs w:val="21"/>
                <w:highlight w:val="none"/>
                <w:lang w:val="zh-CN"/>
              </w:rPr>
              <w:t>号：</w:t>
            </w:r>
            <w:r>
              <w:rPr>
                <w:rFonts w:hint="eastAsia" w:hAnsi="宋体" w:cs="宋体"/>
                <w:color w:val="auto"/>
                <w:kern w:val="2"/>
                <w:szCs w:val="21"/>
                <w:highlight w:val="none"/>
                <w:u w:val="single"/>
                <w:lang w:val="en-US" w:eastAsia="zh-CN"/>
              </w:rPr>
              <w:t xml:space="preserve">  </w:t>
            </w:r>
            <w:r>
              <w:rPr>
                <w:rFonts w:hint="eastAsia" w:asciiTheme="minorEastAsia" w:hAnsiTheme="minorEastAsia" w:eastAsiaTheme="minorEastAsia" w:cstheme="minorEastAsia"/>
                <w:color w:val="000000" w:themeColor="text1"/>
                <w:kern w:val="2"/>
                <w:szCs w:val="21"/>
                <w:highlight w:val="none"/>
                <w:u w:val="single"/>
                <w:lang w:val="zh-CN"/>
                <w14:textFill>
                  <w14:solidFill>
                    <w14:schemeClr w14:val="tx1"/>
                  </w14:solidFill>
                </w14:textFill>
              </w:rPr>
              <w:t>380010190010009298</w:t>
            </w:r>
            <w:r>
              <w:rPr>
                <w:rFonts w:hint="eastAsia" w:hAnsi="宋体" w:cs="宋体"/>
                <w:color w:val="auto"/>
                <w:kern w:val="2"/>
                <w:szCs w:val="21"/>
                <w:highlight w:val="none"/>
                <w:u w:val="single"/>
                <w:lang w:val="en-US" w:eastAsia="zh-CN"/>
              </w:rPr>
              <w:t xml:space="preserve">  </w:t>
            </w:r>
            <w:r>
              <w:rPr>
                <w:rFonts w:hint="eastAsia" w:ascii="宋体" w:hAnsi="宋体" w:eastAsia="宋体" w:cs="宋体"/>
                <w:color w:val="auto"/>
                <w:kern w:val="2"/>
                <w:szCs w:val="21"/>
                <w:highlight w:val="none"/>
                <w:u w:val="none"/>
                <w:lang w:val="zh-CN"/>
              </w:rPr>
              <w:t>；</w:t>
            </w:r>
          </w:p>
          <w:p w14:paraId="530252BA">
            <w:pPr>
              <w:widowControl w:val="0"/>
              <w:tabs>
                <w:tab w:val="left" w:pos="567"/>
              </w:tabs>
              <w:snapToGrid/>
              <w:spacing w:line="360" w:lineRule="auto"/>
              <w:ind w:firstLine="422" w:firstLineChars="200"/>
              <w:jc w:val="both"/>
              <w:rPr>
                <w:rFonts w:ascii="宋体" w:hAnsi="宋体"/>
                <w:b/>
                <w:color w:val="auto"/>
                <w:szCs w:val="21"/>
                <w:highlight w:val="none"/>
              </w:rPr>
            </w:pPr>
            <w:r>
              <w:rPr>
                <w:rFonts w:hint="eastAsia" w:hAnsi="宋体" w:cs="宋体"/>
                <w:b/>
                <w:color w:val="auto"/>
                <w:szCs w:val="21"/>
                <w:highlight w:val="none"/>
              </w:rPr>
              <w:t>（注：各投标人在转</w:t>
            </w:r>
            <w:r>
              <w:rPr>
                <w:rFonts w:hint="eastAsia" w:hAnsi="宋体" w:cs="宋体"/>
                <w:b/>
                <w:color w:val="auto"/>
                <w:szCs w:val="21"/>
                <w:highlight w:val="none"/>
                <w:lang w:eastAsia="zh-CN"/>
              </w:rPr>
              <w:t>账</w:t>
            </w:r>
            <w:r>
              <w:rPr>
                <w:rFonts w:hint="eastAsia" w:hAnsi="宋体" w:cs="宋体"/>
                <w:b/>
                <w:color w:val="auto"/>
                <w:szCs w:val="21"/>
                <w:highlight w:val="none"/>
              </w:rPr>
              <w:t>或电汇时须在用途栏上备注项目编号，及项目名称，如有字数限制项目名称可简写。）</w:t>
            </w:r>
          </w:p>
        </w:tc>
      </w:tr>
      <w:tr w14:paraId="451FDE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153" w:hRule="atLeast"/>
          <w:jc w:val="center"/>
        </w:trPr>
        <w:tc>
          <w:tcPr>
            <w:tcW w:w="878" w:type="dxa"/>
            <w:vMerge w:val="restart"/>
            <w:tcBorders>
              <w:tl2br w:val="nil"/>
              <w:tr2bl w:val="nil"/>
            </w:tcBorders>
            <w:vAlign w:val="center"/>
          </w:tcPr>
          <w:p w14:paraId="58937B7E">
            <w:pPr>
              <w:snapToGrid/>
              <w:spacing w:line="240" w:lineRule="auto"/>
              <w:jc w:val="center"/>
              <w:rPr>
                <w:rFonts w:ascii="宋体" w:hAnsi="宋体"/>
                <w:color w:val="auto"/>
                <w:szCs w:val="21"/>
                <w:highlight w:val="none"/>
              </w:rPr>
            </w:pPr>
            <w:r>
              <w:rPr>
                <w:rFonts w:hint="eastAsia" w:ascii="宋体" w:hAnsi="宋体"/>
                <w:color w:val="auto"/>
                <w:szCs w:val="21"/>
                <w:highlight w:val="none"/>
              </w:rPr>
              <w:t>9</w:t>
            </w:r>
          </w:p>
        </w:tc>
        <w:tc>
          <w:tcPr>
            <w:tcW w:w="8654" w:type="dxa"/>
            <w:gridSpan w:val="2"/>
            <w:tcBorders>
              <w:tl2br w:val="nil"/>
              <w:tr2bl w:val="nil"/>
            </w:tcBorders>
            <w:vAlign w:val="center"/>
          </w:tcPr>
          <w:p w14:paraId="48978D22">
            <w:pPr>
              <w:snapToGrid/>
              <w:spacing w:line="240" w:lineRule="auto"/>
              <w:jc w:val="both"/>
              <w:rPr>
                <w:rFonts w:ascii="宋体" w:hAnsi="宋体"/>
                <w:b/>
                <w:bCs/>
                <w:color w:val="auto"/>
                <w:szCs w:val="21"/>
                <w:highlight w:val="none"/>
                <w:lang w:val="zh-CN"/>
              </w:rPr>
            </w:pPr>
            <w:r>
              <w:rPr>
                <w:rFonts w:hint="eastAsia" w:ascii="宋体" w:hAnsi="宋体"/>
                <w:b/>
                <w:bCs/>
                <w:color w:val="auto"/>
                <w:szCs w:val="21"/>
                <w:highlight w:val="none"/>
                <w:lang w:val="zh-CN"/>
              </w:rPr>
              <w:t>投标保证金退还</w:t>
            </w:r>
          </w:p>
        </w:tc>
      </w:tr>
      <w:tr w14:paraId="4A40820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1465" w:hRule="atLeast"/>
          <w:jc w:val="center"/>
        </w:trPr>
        <w:tc>
          <w:tcPr>
            <w:tcW w:w="878" w:type="dxa"/>
            <w:vMerge w:val="continue"/>
            <w:tcBorders>
              <w:tl2br w:val="nil"/>
              <w:tr2bl w:val="nil"/>
            </w:tcBorders>
            <w:vAlign w:val="center"/>
          </w:tcPr>
          <w:p w14:paraId="460FDC1E">
            <w:pPr>
              <w:snapToGrid/>
              <w:spacing w:line="240" w:lineRule="auto"/>
              <w:jc w:val="center"/>
              <w:rPr>
                <w:rFonts w:ascii="宋体" w:hAnsi="宋体"/>
                <w:color w:val="auto"/>
                <w:szCs w:val="21"/>
                <w:highlight w:val="none"/>
              </w:rPr>
            </w:pPr>
          </w:p>
        </w:tc>
        <w:tc>
          <w:tcPr>
            <w:tcW w:w="8654" w:type="dxa"/>
            <w:gridSpan w:val="2"/>
            <w:tcBorders>
              <w:tl2br w:val="nil"/>
              <w:tr2bl w:val="nil"/>
            </w:tcBorders>
            <w:vAlign w:val="center"/>
          </w:tcPr>
          <w:p w14:paraId="4392E2C5">
            <w:pPr>
              <w:snapToGrid/>
              <w:spacing w:line="360" w:lineRule="auto"/>
              <w:jc w:val="both"/>
              <w:rPr>
                <w:rFonts w:ascii="宋体" w:hAnsi="宋体"/>
                <w:color w:val="auto"/>
                <w:szCs w:val="21"/>
                <w:highlight w:val="none"/>
                <w:lang w:val="zh-CN"/>
              </w:rPr>
            </w:pPr>
            <w:r>
              <w:rPr>
                <w:rFonts w:hint="eastAsia" w:ascii="宋体" w:hAnsi="宋体"/>
                <w:color w:val="auto"/>
                <w:szCs w:val="21"/>
                <w:highlight w:val="none"/>
                <w:lang w:val="zh-CN"/>
              </w:rPr>
              <w:t>（</w:t>
            </w:r>
            <w:r>
              <w:rPr>
                <w:rFonts w:hint="eastAsia" w:ascii="宋体" w:hAnsi="宋体"/>
                <w:color w:val="auto"/>
                <w:szCs w:val="21"/>
                <w:highlight w:val="none"/>
              </w:rPr>
              <w:t>1</w:t>
            </w:r>
            <w:r>
              <w:rPr>
                <w:rFonts w:hint="eastAsia" w:ascii="宋体" w:hAnsi="宋体"/>
                <w:color w:val="auto"/>
                <w:szCs w:val="21"/>
                <w:highlight w:val="none"/>
                <w:lang w:val="zh-CN"/>
              </w:rPr>
              <w:t>）未中标的投标人的保证金应当在中标通知书发出后退还，中标</w:t>
            </w:r>
            <w:r>
              <w:rPr>
                <w:rFonts w:hint="eastAsia" w:ascii="宋体" w:hAnsi="宋体"/>
                <w:color w:val="auto"/>
                <w:szCs w:val="21"/>
                <w:highlight w:val="none"/>
              </w:rPr>
              <w:t>的</w:t>
            </w:r>
            <w:r>
              <w:rPr>
                <w:rFonts w:hint="eastAsia" w:ascii="宋体" w:hAnsi="宋体"/>
                <w:color w:val="auto"/>
                <w:szCs w:val="21"/>
                <w:highlight w:val="none"/>
                <w:lang w:val="zh-CN"/>
              </w:rPr>
              <w:t>投标人的保证金应当在采购合同签订</w:t>
            </w:r>
            <w:r>
              <w:rPr>
                <w:rFonts w:hint="eastAsia" w:ascii="宋体" w:hAnsi="宋体"/>
                <w:color w:val="auto"/>
                <w:szCs w:val="21"/>
                <w:highlight w:val="none"/>
              </w:rPr>
              <w:t>并缴纳履约保证金</w:t>
            </w:r>
            <w:r>
              <w:rPr>
                <w:rFonts w:hint="eastAsia" w:ascii="宋体" w:hAnsi="宋体"/>
                <w:color w:val="auto"/>
                <w:szCs w:val="21"/>
                <w:highlight w:val="none"/>
                <w:lang w:val="zh-CN"/>
              </w:rPr>
              <w:t>后退还。</w:t>
            </w:r>
          </w:p>
          <w:p w14:paraId="296A2EFD">
            <w:pPr>
              <w:snapToGrid/>
              <w:spacing w:line="360" w:lineRule="auto"/>
              <w:jc w:val="both"/>
              <w:rPr>
                <w:color w:val="auto"/>
                <w:highlight w:val="none"/>
              </w:rPr>
            </w:pPr>
            <w:r>
              <w:rPr>
                <w:rFonts w:hint="eastAsia" w:ascii="宋体" w:hAnsi="宋体"/>
                <w:color w:val="auto"/>
                <w:szCs w:val="21"/>
                <w:highlight w:val="none"/>
                <w:lang w:val="zh-CN"/>
              </w:rPr>
              <w:t>（</w:t>
            </w:r>
            <w:r>
              <w:rPr>
                <w:rFonts w:hint="eastAsia" w:ascii="宋体" w:hAnsi="宋体"/>
                <w:color w:val="auto"/>
                <w:szCs w:val="21"/>
                <w:highlight w:val="none"/>
              </w:rPr>
              <w:t>2</w:t>
            </w:r>
            <w:r>
              <w:rPr>
                <w:rFonts w:hint="eastAsia" w:ascii="宋体" w:hAnsi="宋体"/>
                <w:color w:val="auto"/>
                <w:szCs w:val="21"/>
                <w:highlight w:val="none"/>
                <w:lang w:val="zh-CN"/>
              </w:rPr>
              <w:t>）为方便退还未中标的投标人的保证金，投标人应制作《投标保证金汇入情况说明》随唱标信封一并递交。</w:t>
            </w:r>
          </w:p>
        </w:tc>
      </w:tr>
      <w:tr w14:paraId="048152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360" w:hRule="atLeast"/>
          <w:jc w:val="center"/>
        </w:trPr>
        <w:tc>
          <w:tcPr>
            <w:tcW w:w="878" w:type="dxa"/>
            <w:vMerge w:val="restart"/>
            <w:tcBorders>
              <w:tl2br w:val="nil"/>
              <w:tr2bl w:val="nil"/>
            </w:tcBorders>
            <w:vAlign w:val="center"/>
          </w:tcPr>
          <w:p w14:paraId="662182AE">
            <w:pPr>
              <w:snapToGrid/>
              <w:spacing w:line="240" w:lineRule="auto"/>
              <w:jc w:val="center"/>
              <w:rPr>
                <w:rFonts w:ascii="宋体" w:hAnsi="宋体"/>
                <w:color w:val="auto"/>
                <w:szCs w:val="21"/>
                <w:highlight w:val="none"/>
              </w:rPr>
            </w:pPr>
            <w:r>
              <w:rPr>
                <w:rFonts w:hint="eastAsia" w:ascii="宋体" w:hAnsi="宋体"/>
                <w:color w:val="auto"/>
                <w:szCs w:val="21"/>
                <w:highlight w:val="none"/>
              </w:rPr>
              <w:t>10</w:t>
            </w:r>
          </w:p>
        </w:tc>
        <w:tc>
          <w:tcPr>
            <w:tcW w:w="8654" w:type="dxa"/>
            <w:gridSpan w:val="2"/>
            <w:tcBorders>
              <w:tl2br w:val="nil"/>
              <w:tr2bl w:val="nil"/>
            </w:tcBorders>
            <w:vAlign w:val="center"/>
          </w:tcPr>
          <w:p w14:paraId="4F97B46A">
            <w:pPr>
              <w:snapToGrid/>
              <w:spacing w:line="240" w:lineRule="auto"/>
              <w:jc w:val="both"/>
              <w:rPr>
                <w:rFonts w:ascii="宋体" w:hAnsi="宋体"/>
                <w:b/>
                <w:color w:val="auto"/>
                <w:szCs w:val="21"/>
                <w:highlight w:val="none"/>
              </w:rPr>
            </w:pPr>
            <w:r>
              <w:rPr>
                <w:rFonts w:hint="eastAsia" w:ascii="宋体" w:hAnsi="宋体"/>
                <w:b/>
                <w:color w:val="auto"/>
                <w:szCs w:val="21"/>
                <w:highlight w:val="none"/>
              </w:rPr>
              <w:t>投标有效期</w:t>
            </w:r>
          </w:p>
        </w:tc>
      </w:tr>
      <w:tr w14:paraId="37AA02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90" w:hRule="atLeast"/>
          <w:jc w:val="center"/>
        </w:trPr>
        <w:tc>
          <w:tcPr>
            <w:tcW w:w="878" w:type="dxa"/>
            <w:vMerge w:val="continue"/>
            <w:tcBorders>
              <w:tl2br w:val="nil"/>
              <w:tr2bl w:val="nil"/>
            </w:tcBorders>
            <w:vAlign w:val="center"/>
          </w:tcPr>
          <w:p w14:paraId="7C5C466C">
            <w:pPr>
              <w:snapToGrid/>
              <w:spacing w:line="240" w:lineRule="auto"/>
              <w:jc w:val="center"/>
              <w:rPr>
                <w:rFonts w:ascii="宋体" w:hAnsi="宋体"/>
                <w:color w:val="auto"/>
                <w:szCs w:val="21"/>
                <w:highlight w:val="none"/>
              </w:rPr>
            </w:pPr>
          </w:p>
        </w:tc>
        <w:tc>
          <w:tcPr>
            <w:tcW w:w="8654" w:type="dxa"/>
            <w:gridSpan w:val="2"/>
            <w:tcBorders>
              <w:tl2br w:val="nil"/>
              <w:tr2bl w:val="nil"/>
            </w:tcBorders>
            <w:vAlign w:val="center"/>
          </w:tcPr>
          <w:p w14:paraId="7BF49D11">
            <w:pPr>
              <w:snapToGrid/>
              <w:spacing w:line="240" w:lineRule="auto"/>
              <w:jc w:val="both"/>
              <w:rPr>
                <w:rFonts w:ascii="宋体" w:hAnsi="宋体"/>
                <w:b/>
                <w:color w:val="auto"/>
                <w:szCs w:val="21"/>
                <w:highlight w:val="none"/>
              </w:rPr>
            </w:pPr>
            <w:r>
              <w:rPr>
                <w:rFonts w:hint="eastAsia" w:ascii="宋体" w:hAnsi="宋体"/>
                <w:color w:val="auto"/>
                <w:szCs w:val="21"/>
                <w:highlight w:val="none"/>
              </w:rPr>
              <w:t>九十天。</w:t>
            </w:r>
          </w:p>
        </w:tc>
      </w:tr>
      <w:tr w14:paraId="2BA8E3D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1131" w:hRule="atLeast"/>
          <w:jc w:val="center"/>
        </w:trPr>
        <w:tc>
          <w:tcPr>
            <w:tcW w:w="878" w:type="dxa"/>
            <w:vMerge w:val="restart"/>
            <w:tcBorders>
              <w:tl2br w:val="nil"/>
              <w:tr2bl w:val="nil"/>
            </w:tcBorders>
            <w:vAlign w:val="center"/>
          </w:tcPr>
          <w:p w14:paraId="7EFEB187">
            <w:pPr>
              <w:snapToGrid/>
              <w:spacing w:line="240" w:lineRule="auto"/>
              <w:jc w:val="center"/>
              <w:rPr>
                <w:rFonts w:ascii="宋体" w:hAnsi="宋体"/>
                <w:color w:val="auto"/>
                <w:szCs w:val="21"/>
                <w:highlight w:val="none"/>
              </w:rPr>
            </w:pPr>
            <w:r>
              <w:rPr>
                <w:rFonts w:hint="eastAsia" w:ascii="宋体" w:hAnsi="宋体"/>
                <w:color w:val="auto"/>
                <w:szCs w:val="21"/>
                <w:highlight w:val="none"/>
              </w:rPr>
              <w:t>11</w:t>
            </w:r>
          </w:p>
        </w:tc>
        <w:tc>
          <w:tcPr>
            <w:tcW w:w="8654" w:type="dxa"/>
            <w:gridSpan w:val="2"/>
            <w:tcBorders>
              <w:tl2br w:val="nil"/>
              <w:tr2bl w:val="nil"/>
            </w:tcBorders>
            <w:vAlign w:val="center"/>
          </w:tcPr>
          <w:p w14:paraId="68691D2C">
            <w:pPr>
              <w:snapToGrid/>
              <w:spacing w:line="360" w:lineRule="auto"/>
              <w:jc w:val="both"/>
              <w:rPr>
                <w:rFonts w:ascii="宋体" w:hAnsi="宋体"/>
                <w:b/>
                <w:color w:val="auto"/>
                <w:szCs w:val="21"/>
                <w:highlight w:val="none"/>
              </w:rPr>
            </w:pPr>
            <w:r>
              <w:rPr>
                <w:rFonts w:hint="eastAsia" w:ascii="宋体" w:hAnsi="宋体"/>
                <w:b/>
                <w:color w:val="auto"/>
                <w:szCs w:val="21"/>
                <w:highlight w:val="none"/>
              </w:rPr>
              <w:t>投标人应提交以下投标文件（投标文件由唱标信封、价格文件、商务文件、技术文件、电子文档五部分组成；价格文件、商务文件、技术文件分别单独装订成册，电子文档装入唱标信封一同封装；具体编制和封装要求详见第四部分投标人须知）</w:t>
            </w:r>
          </w:p>
        </w:tc>
      </w:tr>
      <w:tr w14:paraId="73FFD5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98" w:hRule="atLeast"/>
          <w:jc w:val="center"/>
        </w:trPr>
        <w:tc>
          <w:tcPr>
            <w:tcW w:w="878" w:type="dxa"/>
            <w:vMerge w:val="continue"/>
            <w:tcBorders>
              <w:tl2br w:val="nil"/>
              <w:tr2bl w:val="nil"/>
            </w:tcBorders>
            <w:vAlign w:val="center"/>
          </w:tcPr>
          <w:p w14:paraId="0AA1AEFC">
            <w:pPr>
              <w:snapToGrid/>
              <w:spacing w:line="240" w:lineRule="auto"/>
              <w:jc w:val="center"/>
              <w:rPr>
                <w:rFonts w:ascii="宋体" w:hAnsi="宋体"/>
                <w:color w:val="auto"/>
                <w:szCs w:val="21"/>
                <w:highlight w:val="none"/>
              </w:rPr>
            </w:pPr>
          </w:p>
        </w:tc>
        <w:tc>
          <w:tcPr>
            <w:tcW w:w="2608" w:type="dxa"/>
            <w:tcBorders>
              <w:tl2br w:val="nil"/>
              <w:tr2bl w:val="nil"/>
            </w:tcBorders>
            <w:vAlign w:val="center"/>
          </w:tcPr>
          <w:p w14:paraId="482A8A97">
            <w:pPr>
              <w:snapToGrid/>
              <w:spacing w:line="240" w:lineRule="auto"/>
              <w:jc w:val="center"/>
              <w:rPr>
                <w:rFonts w:ascii="宋体" w:hAnsi="宋体"/>
                <w:b/>
                <w:color w:val="auto"/>
                <w:szCs w:val="21"/>
                <w:highlight w:val="none"/>
              </w:rPr>
            </w:pPr>
            <w:r>
              <w:rPr>
                <w:rFonts w:hint="eastAsia" w:ascii="宋体" w:hAnsi="宋体"/>
                <w:b/>
                <w:color w:val="auto"/>
                <w:szCs w:val="21"/>
                <w:highlight w:val="none"/>
              </w:rPr>
              <w:t>投标文件类型</w:t>
            </w:r>
          </w:p>
        </w:tc>
        <w:tc>
          <w:tcPr>
            <w:tcW w:w="6046" w:type="dxa"/>
            <w:tcBorders>
              <w:tl2br w:val="nil"/>
              <w:tr2bl w:val="nil"/>
            </w:tcBorders>
            <w:vAlign w:val="center"/>
          </w:tcPr>
          <w:p w14:paraId="721ECC11">
            <w:pPr>
              <w:snapToGrid/>
              <w:spacing w:line="240" w:lineRule="auto"/>
              <w:jc w:val="center"/>
              <w:rPr>
                <w:rFonts w:ascii="宋体" w:hAnsi="宋体"/>
                <w:b/>
                <w:color w:val="auto"/>
                <w:szCs w:val="21"/>
                <w:highlight w:val="none"/>
              </w:rPr>
            </w:pPr>
            <w:r>
              <w:rPr>
                <w:rFonts w:hint="eastAsia" w:ascii="宋体" w:hAnsi="宋体"/>
                <w:b/>
                <w:color w:val="auto"/>
                <w:szCs w:val="21"/>
                <w:highlight w:val="none"/>
              </w:rPr>
              <w:t>份数</w:t>
            </w:r>
          </w:p>
        </w:tc>
      </w:tr>
      <w:tr w14:paraId="4690AE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98" w:hRule="atLeast"/>
          <w:jc w:val="center"/>
        </w:trPr>
        <w:tc>
          <w:tcPr>
            <w:tcW w:w="878" w:type="dxa"/>
            <w:vMerge w:val="continue"/>
            <w:tcBorders>
              <w:tl2br w:val="nil"/>
              <w:tr2bl w:val="nil"/>
            </w:tcBorders>
            <w:vAlign w:val="center"/>
          </w:tcPr>
          <w:p w14:paraId="0C2F37F8">
            <w:pPr>
              <w:snapToGrid/>
              <w:spacing w:line="240" w:lineRule="auto"/>
              <w:jc w:val="center"/>
              <w:rPr>
                <w:rFonts w:ascii="宋体" w:hAnsi="宋体"/>
                <w:color w:val="auto"/>
                <w:szCs w:val="21"/>
                <w:highlight w:val="none"/>
              </w:rPr>
            </w:pPr>
          </w:p>
        </w:tc>
        <w:tc>
          <w:tcPr>
            <w:tcW w:w="2608" w:type="dxa"/>
            <w:tcBorders>
              <w:tl2br w:val="nil"/>
              <w:tr2bl w:val="nil"/>
            </w:tcBorders>
            <w:vAlign w:val="center"/>
          </w:tcPr>
          <w:p w14:paraId="1050A192">
            <w:pPr>
              <w:snapToGrid/>
              <w:spacing w:line="240" w:lineRule="auto"/>
              <w:jc w:val="center"/>
              <w:rPr>
                <w:rFonts w:ascii="宋体" w:hAnsi="宋体"/>
                <w:b/>
                <w:color w:val="auto"/>
                <w:szCs w:val="21"/>
                <w:highlight w:val="none"/>
              </w:rPr>
            </w:pPr>
            <w:r>
              <w:rPr>
                <w:rFonts w:hint="eastAsia" w:ascii="宋体" w:hAnsi="宋体"/>
                <w:b/>
                <w:color w:val="auto"/>
                <w:szCs w:val="21"/>
                <w:highlight w:val="none"/>
              </w:rPr>
              <w:t>唱标信封</w:t>
            </w:r>
          </w:p>
        </w:tc>
        <w:tc>
          <w:tcPr>
            <w:tcW w:w="6046" w:type="dxa"/>
            <w:tcBorders>
              <w:tl2br w:val="nil"/>
              <w:tr2bl w:val="nil"/>
            </w:tcBorders>
            <w:vAlign w:val="center"/>
          </w:tcPr>
          <w:p w14:paraId="476B6C9A">
            <w:pPr>
              <w:snapToGrid/>
              <w:spacing w:line="240" w:lineRule="auto"/>
              <w:jc w:val="center"/>
              <w:rPr>
                <w:rFonts w:ascii="宋体" w:hAnsi="宋体"/>
                <w:b/>
                <w:color w:val="auto"/>
                <w:szCs w:val="21"/>
                <w:highlight w:val="none"/>
              </w:rPr>
            </w:pPr>
            <w:r>
              <w:rPr>
                <w:rFonts w:hint="eastAsia" w:ascii="宋体" w:hAnsi="宋体"/>
                <w:b/>
                <w:color w:val="auto"/>
                <w:szCs w:val="21"/>
                <w:highlight w:val="none"/>
              </w:rPr>
              <w:t>1</w:t>
            </w:r>
          </w:p>
        </w:tc>
      </w:tr>
      <w:tr w14:paraId="0EBBCC3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286" w:hRule="atLeast"/>
          <w:jc w:val="center"/>
        </w:trPr>
        <w:tc>
          <w:tcPr>
            <w:tcW w:w="878" w:type="dxa"/>
            <w:vMerge w:val="continue"/>
            <w:tcBorders>
              <w:tl2br w:val="nil"/>
              <w:tr2bl w:val="nil"/>
            </w:tcBorders>
            <w:vAlign w:val="center"/>
          </w:tcPr>
          <w:p w14:paraId="4B99CD0E">
            <w:pPr>
              <w:snapToGrid/>
              <w:spacing w:line="240" w:lineRule="auto"/>
              <w:jc w:val="center"/>
              <w:rPr>
                <w:rFonts w:ascii="宋体" w:hAnsi="宋体"/>
                <w:color w:val="auto"/>
                <w:szCs w:val="21"/>
                <w:highlight w:val="none"/>
              </w:rPr>
            </w:pPr>
          </w:p>
        </w:tc>
        <w:tc>
          <w:tcPr>
            <w:tcW w:w="2608" w:type="dxa"/>
            <w:tcBorders>
              <w:tl2br w:val="nil"/>
              <w:tr2bl w:val="nil"/>
            </w:tcBorders>
            <w:vAlign w:val="center"/>
          </w:tcPr>
          <w:p w14:paraId="626C2D0B">
            <w:pPr>
              <w:snapToGrid/>
              <w:spacing w:line="240" w:lineRule="auto"/>
              <w:jc w:val="center"/>
              <w:rPr>
                <w:rFonts w:ascii="宋体" w:hAnsi="宋体"/>
                <w:b/>
                <w:color w:val="auto"/>
                <w:szCs w:val="21"/>
                <w:highlight w:val="none"/>
              </w:rPr>
            </w:pPr>
            <w:r>
              <w:rPr>
                <w:rFonts w:hint="eastAsia" w:ascii="宋体" w:hAnsi="宋体"/>
                <w:b/>
                <w:color w:val="auto"/>
                <w:szCs w:val="21"/>
                <w:highlight w:val="none"/>
              </w:rPr>
              <w:t>投标文件正本</w:t>
            </w:r>
          </w:p>
        </w:tc>
        <w:tc>
          <w:tcPr>
            <w:tcW w:w="6046" w:type="dxa"/>
            <w:tcBorders>
              <w:tl2br w:val="nil"/>
              <w:tr2bl w:val="nil"/>
            </w:tcBorders>
            <w:vAlign w:val="center"/>
          </w:tcPr>
          <w:p w14:paraId="3E96725E">
            <w:pPr>
              <w:snapToGrid/>
              <w:spacing w:line="240" w:lineRule="auto"/>
              <w:jc w:val="center"/>
              <w:rPr>
                <w:rFonts w:ascii="宋体" w:hAnsi="宋体"/>
                <w:b/>
                <w:color w:val="auto"/>
                <w:szCs w:val="21"/>
                <w:highlight w:val="none"/>
              </w:rPr>
            </w:pPr>
            <w:r>
              <w:rPr>
                <w:rFonts w:hint="eastAsia" w:ascii="宋体" w:hAnsi="宋体"/>
                <w:b/>
                <w:color w:val="auto"/>
                <w:szCs w:val="21"/>
                <w:highlight w:val="none"/>
              </w:rPr>
              <w:t>1</w:t>
            </w:r>
          </w:p>
        </w:tc>
      </w:tr>
      <w:tr w14:paraId="1184EE2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90" w:hRule="atLeast"/>
          <w:jc w:val="center"/>
        </w:trPr>
        <w:tc>
          <w:tcPr>
            <w:tcW w:w="878" w:type="dxa"/>
            <w:vMerge w:val="continue"/>
            <w:tcBorders>
              <w:tl2br w:val="nil"/>
              <w:tr2bl w:val="nil"/>
            </w:tcBorders>
            <w:vAlign w:val="center"/>
          </w:tcPr>
          <w:p w14:paraId="2470D21D">
            <w:pPr>
              <w:snapToGrid/>
              <w:spacing w:line="240" w:lineRule="auto"/>
              <w:jc w:val="center"/>
              <w:rPr>
                <w:rFonts w:ascii="宋体" w:hAnsi="宋体"/>
                <w:color w:val="auto"/>
                <w:szCs w:val="21"/>
                <w:highlight w:val="none"/>
              </w:rPr>
            </w:pPr>
          </w:p>
        </w:tc>
        <w:tc>
          <w:tcPr>
            <w:tcW w:w="2608" w:type="dxa"/>
            <w:tcBorders>
              <w:tl2br w:val="nil"/>
              <w:tr2bl w:val="nil"/>
            </w:tcBorders>
            <w:vAlign w:val="center"/>
          </w:tcPr>
          <w:p w14:paraId="7CB6F0D9">
            <w:pPr>
              <w:snapToGrid/>
              <w:spacing w:line="240" w:lineRule="auto"/>
              <w:jc w:val="center"/>
              <w:rPr>
                <w:rFonts w:ascii="宋体" w:hAnsi="宋体"/>
                <w:b/>
                <w:color w:val="auto"/>
                <w:szCs w:val="21"/>
                <w:highlight w:val="none"/>
              </w:rPr>
            </w:pPr>
            <w:r>
              <w:rPr>
                <w:rFonts w:hint="eastAsia" w:ascii="宋体" w:hAnsi="宋体"/>
                <w:b/>
                <w:color w:val="auto"/>
                <w:szCs w:val="21"/>
                <w:highlight w:val="none"/>
              </w:rPr>
              <w:t>投标文件副本</w:t>
            </w:r>
          </w:p>
        </w:tc>
        <w:tc>
          <w:tcPr>
            <w:tcW w:w="6046" w:type="dxa"/>
            <w:tcBorders>
              <w:tl2br w:val="nil"/>
              <w:tr2bl w:val="nil"/>
            </w:tcBorders>
            <w:vAlign w:val="center"/>
          </w:tcPr>
          <w:p w14:paraId="2FEA089A">
            <w:pPr>
              <w:snapToGrid/>
              <w:spacing w:line="240" w:lineRule="auto"/>
              <w:jc w:val="center"/>
              <w:rPr>
                <w:rFonts w:ascii="宋体" w:hAnsi="宋体"/>
                <w:b/>
                <w:color w:val="auto"/>
                <w:szCs w:val="21"/>
                <w:highlight w:val="none"/>
              </w:rPr>
            </w:pPr>
            <w:r>
              <w:rPr>
                <w:rFonts w:hint="eastAsia" w:ascii="宋体" w:hAnsi="宋体"/>
                <w:b w:val="0"/>
                <w:bCs w:val="0"/>
                <w:color w:val="auto"/>
                <w:szCs w:val="21"/>
                <w:highlight w:val="none"/>
                <w:lang w:val="en-US" w:eastAsia="zh-CN"/>
              </w:rPr>
              <w:sym w:font="Wingdings" w:char="00FE"/>
            </w:r>
            <w:r>
              <w:rPr>
                <w:rFonts w:hint="eastAsia" w:ascii="宋体" w:hAnsi="宋体"/>
                <w:b/>
                <w:color w:val="auto"/>
                <w:szCs w:val="21"/>
                <w:highlight w:val="none"/>
              </w:rPr>
              <w:t xml:space="preserve">5  </w:t>
            </w:r>
            <w:r>
              <w:rPr>
                <w:rFonts w:hint="eastAsia" w:ascii="宋体" w:hAnsi="宋体"/>
                <w:b w:val="0"/>
                <w:bCs w:val="0"/>
                <w:color w:val="auto"/>
                <w:szCs w:val="21"/>
                <w:highlight w:val="none"/>
                <w:lang w:val="en-US" w:eastAsia="zh-CN"/>
              </w:rPr>
              <w:sym w:font="Wingdings" w:char="00A8"/>
            </w:r>
            <w:r>
              <w:rPr>
                <w:rFonts w:hint="eastAsia" w:ascii="宋体" w:hAnsi="宋体"/>
                <w:b/>
                <w:color w:val="auto"/>
                <w:szCs w:val="21"/>
                <w:highlight w:val="none"/>
              </w:rPr>
              <w:t>7</w:t>
            </w:r>
          </w:p>
        </w:tc>
      </w:tr>
      <w:tr w14:paraId="3BB5FEE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90" w:hRule="atLeast"/>
          <w:jc w:val="center"/>
        </w:trPr>
        <w:tc>
          <w:tcPr>
            <w:tcW w:w="878" w:type="dxa"/>
            <w:vMerge w:val="continue"/>
            <w:tcBorders>
              <w:tl2br w:val="nil"/>
              <w:tr2bl w:val="nil"/>
            </w:tcBorders>
            <w:vAlign w:val="center"/>
          </w:tcPr>
          <w:p w14:paraId="4F641C4B">
            <w:pPr>
              <w:snapToGrid/>
              <w:spacing w:line="240" w:lineRule="auto"/>
              <w:jc w:val="center"/>
              <w:rPr>
                <w:rFonts w:ascii="宋体" w:hAnsi="宋体"/>
                <w:color w:val="auto"/>
                <w:szCs w:val="21"/>
                <w:highlight w:val="none"/>
              </w:rPr>
            </w:pPr>
          </w:p>
        </w:tc>
        <w:tc>
          <w:tcPr>
            <w:tcW w:w="2608" w:type="dxa"/>
            <w:vMerge w:val="restart"/>
            <w:tcBorders>
              <w:tl2br w:val="nil"/>
              <w:tr2bl w:val="nil"/>
            </w:tcBorders>
            <w:vAlign w:val="center"/>
          </w:tcPr>
          <w:p w14:paraId="6DEE97A6">
            <w:pPr>
              <w:snapToGrid/>
              <w:spacing w:line="240" w:lineRule="auto"/>
              <w:jc w:val="center"/>
              <w:rPr>
                <w:rFonts w:ascii="宋体" w:hAnsi="宋体"/>
                <w:b/>
                <w:color w:val="auto"/>
                <w:szCs w:val="21"/>
                <w:highlight w:val="none"/>
              </w:rPr>
            </w:pPr>
            <w:r>
              <w:rPr>
                <w:rFonts w:hint="eastAsia" w:ascii="宋体" w:hAnsi="宋体"/>
                <w:b/>
                <w:color w:val="auto"/>
                <w:szCs w:val="21"/>
                <w:highlight w:val="none"/>
              </w:rPr>
              <w:t>电子文档</w:t>
            </w:r>
          </w:p>
        </w:tc>
        <w:tc>
          <w:tcPr>
            <w:tcW w:w="6046" w:type="dxa"/>
            <w:tcBorders>
              <w:tl2br w:val="nil"/>
              <w:tr2bl w:val="nil"/>
            </w:tcBorders>
            <w:vAlign w:val="center"/>
          </w:tcPr>
          <w:p w14:paraId="74BA6D13">
            <w:pPr>
              <w:snapToGrid/>
              <w:spacing w:line="240" w:lineRule="auto"/>
              <w:jc w:val="center"/>
              <w:rPr>
                <w:rFonts w:ascii="宋体" w:hAnsi="宋体"/>
                <w:b/>
                <w:color w:val="auto"/>
                <w:szCs w:val="21"/>
                <w:highlight w:val="none"/>
              </w:rPr>
            </w:pPr>
            <w:r>
              <w:rPr>
                <w:rFonts w:hint="eastAsia" w:ascii="宋体" w:hAnsi="宋体"/>
                <w:b/>
                <w:color w:val="auto"/>
                <w:szCs w:val="21"/>
                <w:highlight w:val="none"/>
              </w:rPr>
              <w:t>1</w:t>
            </w:r>
          </w:p>
        </w:tc>
      </w:tr>
      <w:tr w14:paraId="1B9D294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325" w:hRule="atLeast"/>
          <w:jc w:val="center"/>
        </w:trPr>
        <w:tc>
          <w:tcPr>
            <w:tcW w:w="878" w:type="dxa"/>
            <w:vMerge w:val="continue"/>
            <w:tcBorders>
              <w:tl2br w:val="nil"/>
              <w:tr2bl w:val="nil"/>
            </w:tcBorders>
            <w:vAlign w:val="center"/>
          </w:tcPr>
          <w:p w14:paraId="32C41299">
            <w:pPr>
              <w:snapToGrid/>
              <w:spacing w:line="240" w:lineRule="auto"/>
              <w:jc w:val="center"/>
              <w:rPr>
                <w:rFonts w:ascii="宋体" w:hAnsi="宋体"/>
                <w:color w:val="auto"/>
                <w:szCs w:val="21"/>
                <w:highlight w:val="none"/>
              </w:rPr>
            </w:pPr>
          </w:p>
        </w:tc>
        <w:tc>
          <w:tcPr>
            <w:tcW w:w="2608" w:type="dxa"/>
            <w:vMerge w:val="continue"/>
            <w:tcBorders>
              <w:tl2br w:val="nil"/>
              <w:tr2bl w:val="nil"/>
            </w:tcBorders>
            <w:vAlign w:val="center"/>
          </w:tcPr>
          <w:p w14:paraId="05E99F3F">
            <w:pPr>
              <w:snapToGrid/>
              <w:spacing w:line="240" w:lineRule="auto"/>
              <w:jc w:val="center"/>
              <w:rPr>
                <w:rFonts w:ascii="宋体" w:hAnsi="宋体"/>
                <w:b/>
                <w:color w:val="auto"/>
                <w:szCs w:val="21"/>
                <w:highlight w:val="none"/>
              </w:rPr>
            </w:pPr>
          </w:p>
        </w:tc>
        <w:tc>
          <w:tcPr>
            <w:tcW w:w="6046" w:type="dxa"/>
            <w:tcBorders>
              <w:tl2br w:val="nil"/>
              <w:tr2bl w:val="nil"/>
            </w:tcBorders>
            <w:vAlign w:val="center"/>
          </w:tcPr>
          <w:p w14:paraId="439762FC">
            <w:pPr>
              <w:snapToGrid/>
              <w:spacing w:line="240" w:lineRule="auto"/>
              <w:jc w:val="both"/>
              <w:rPr>
                <w:rFonts w:ascii="宋体" w:hAnsi="宋体"/>
                <w:b/>
                <w:color w:val="auto"/>
                <w:szCs w:val="21"/>
                <w:highlight w:val="none"/>
              </w:rPr>
            </w:pPr>
            <w:r>
              <w:rPr>
                <w:rFonts w:hint="eastAsia" w:ascii="宋体" w:hAnsi="宋体" w:cs="Times New Roman"/>
                <w:b/>
                <w:color w:val="auto"/>
                <w:szCs w:val="21"/>
                <w:highlight w:val="none"/>
              </w:rPr>
              <w:t>U盘，须含盖章版PDF投标文件和WORD版投标文件各一版，文字采用WORD文档，计算表格采用 EXCEL文档。</w:t>
            </w:r>
          </w:p>
        </w:tc>
      </w:tr>
      <w:tr w14:paraId="07B354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710" w:hRule="atLeast"/>
          <w:jc w:val="center"/>
        </w:trPr>
        <w:tc>
          <w:tcPr>
            <w:tcW w:w="9532" w:type="dxa"/>
            <w:gridSpan w:val="3"/>
            <w:tcBorders>
              <w:tl2br w:val="nil"/>
              <w:tr2bl w:val="nil"/>
            </w:tcBorders>
            <w:vAlign w:val="center"/>
          </w:tcPr>
          <w:p w14:paraId="43769579">
            <w:pPr>
              <w:snapToGrid/>
              <w:spacing w:line="240" w:lineRule="auto"/>
              <w:jc w:val="center"/>
              <w:rPr>
                <w:rFonts w:ascii="宋体" w:hAnsi="宋体"/>
                <w:b/>
                <w:color w:val="auto"/>
                <w:szCs w:val="21"/>
                <w:highlight w:val="none"/>
              </w:rPr>
            </w:pPr>
            <w:r>
              <w:rPr>
                <w:rFonts w:hint="eastAsia" w:ascii="宋体" w:hAnsi="宋体"/>
                <w:b/>
                <w:color w:val="auto"/>
                <w:szCs w:val="21"/>
                <w:highlight w:val="none"/>
              </w:rPr>
              <w:t>三、开标与评标</w:t>
            </w:r>
          </w:p>
        </w:tc>
      </w:tr>
      <w:tr w14:paraId="43327D9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266" w:hRule="atLeast"/>
          <w:jc w:val="center"/>
        </w:trPr>
        <w:tc>
          <w:tcPr>
            <w:tcW w:w="878" w:type="dxa"/>
            <w:vMerge w:val="restart"/>
            <w:tcBorders>
              <w:tl2br w:val="nil"/>
              <w:tr2bl w:val="nil"/>
            </w:tcBorders>
            <w:vAlign w:val="center"/>
          </w:tcPr>
          <w:p w14:paraId="7385354C">
            <w:pPr>
              <w:snapToGrid/>
              <w:spacing w:line="240" w:lineRule="auto"/>
              <w:jc w:val="center"/>
              <w:rPr>
                <w:rFonts w:ascii="宋体" w:hAnsi="宋体"/>
                <w:color w:val="auto"/>
                <w:szCs w:val="21"/>
                <w:highlight w:val="none"/>
              </w:rPr>
            </w:pPr>
            <w:r>
              <w:rPr>
                <w:rFonts w:hint="eastAsia" w:ascii="宋体" w:hAnsi="宋体"/>
                <w:color w:val="auto"/>
                <w:szCs w:val="21"/>
                <w:highlight w:val="none"/>
              </w:rPr>
              <w:t>12</w:t>
            </w:r>
          </w:p>
        </w:tc>
        <w:tc>
          <w:tcPr>
            <w:tcW w:w="8654" w:type="dxa"/>
            <w:gridSpan w:val="2"/>
            <w:tcBorders>
              <w:tl2br w:val="nil"/>
              <w:tr2bl w:val="nil"/>
            </w:tcBorders>
            <w:vAlign w:val="center"/>
          </w:tcPr>
          <w:p w14:paraId="71624171">
            <w:pPr>
              <w:snapToGrid/>
              <w:spacing w:line="240" w:lineRule="auto"/>
              <w:jc w:val="both"/>
              <w:rPr>
                <w:rFonts w:ascii="宋体" w:hAnsi="宋体"/>
                <w:color w:val="auto"/>
                <w:szCs w:val="21"/>
                <w:highlight w:val="none"/>
              </w:rPr>
            </w:pPr>
            <w:r>
              <w:rPr>
                <w:rFonts w:hint="eastAsia" w:ascii="宋体" w:hAnsi="宋体"/>
                <w:b/>
                <w:color w:val="auto"/>
                <w:szCs w:val="21"/>
                <w:highlight w:val="none"/>
              </w:rPr>
              <w:t>本项目评标方法</w:t>
            </w:r>
          </w:p>
        </w:tc>
      </w:tr>
      <w:tr w14:paraId="592242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279" w:hRule="atLeast"/>
          <w:jc w:val="center"/>
        </w:trPr>
        <w:tc>
          <w:tcPr>
            <w:tcW w:w="878" w:type="dxa"/>
            <w:vMerge w:val="continue"/>
            <w:tcBorders>
              <w:tl2br w:val="nil"/>
              <w:tr2bl w:val="nil"/>
            </w:tcBorders>
            <w:vAlign w:val="center"/>
          </w:tcPr>
          <w:p w14:paraId="577D7C2F">
            <w:pPr>
              <w:snapToGrid/>
              <w:spacing w:line="240" w:lineRule="auto"/>
              <w:jc w:val="center"/>
              <w:rPr>
                <w:rFonts w:ascii="宋体" w:hAnsi="宋体"/>
                <w:color w:val="auto"/>
                <w:szCs w:val="21"/>
                <w:highlight w:val="none"/>
              </w:rPr>
            </w:pPr>
          </w:p>
        </w:tc>
        <w:tc>
          <w:tcPr>
            <w:tcW w:w="8654" w:type="dxa"/>
            <w:gridSpan w:val="2"/>
            <w:tcBorders>
              <w:tl2br w:val="nil"/>
              <w:tr2bl w:val="nil"/>
            </w:tcBorders>
            <w:vAlign w:val="center"/>
          </w:tcPr>
          <w:p w14:paraId="38C72B46">
            <w:pPr>
              <w:snapToGrid/>
              <w:spacing w:line="240" w:lineRule="auto"/>
              <w:jc w:val="both"/>
              <w:rPr>
                <w:rFonts w:ascii="宋体" w:hAnsi="宋体"/>
                <w:b/>
                <w:color w:val="auto"/>
                <w:szCs w:val="21"/>
                <w:highlight w:val="none"/>
              </w:rPr>
            </w:pPr>
            <w:r>
              <w:rPr>
                <w:rFonts w:hint="eastAsia" w:ascii="宋体" w:hAnsi="宋体"/>
                <w:color w:val="auto"/>
                <w:szCs w:val="21"/>
                <w:highlight w:val="none"/>
              </w:rPr>
              <w:t>综合评分法。</w:t>
            </w:r>
          </w:p>
        </w:tc>
      </w:tr>
      <w:tr w14:paraId="50514D1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285" w:hRule="atLeast"/>
          <w:jc w:val="center"/>
        </w:trPr>
        <w:tc>
          <w:tcPr>
            <w:tcW w:w="878" w:type="dxa"/>
            <w:vMerge w:val="restart"/>
            <w:tcBorders>
              <w:tl2br w:val="nil"/>
              <w:tr2bl w:val="nil"/>
            </w:tcBorders>
            <w:vAlign w:val="center"/>
          </w:tcPr>
          <w:p w14:paraId="0E6C068A">
            <w:pPr>
              <w:snapToGrid/>
              <w:spacing w:line="240" w:lineRule="auto"/>
              <w:jc w:val="center"/>
              <w:rPr>
                <w:rFonts w:ascii="宋体" w:hAnsi="宋体"/>
                <w:color w:val="auto"/>
                <w:szCs w:val="21"/>
                <w:highlight w:val="none"/>
              </w:rPr>
            </w:pPr>
            <w:r>
              <w:rPr>
                <w:rFonts w:hint="eastAsia" w:ascii="宋体" w:hAnsi="宋体"/>
                <w:color w:val="auto"/>
                <w:szCs w:val="21"/>
                <w:highlight w:val="none"/>
              </w:rPr>
              <w:t>13</w:t>
            </w:r>
          </w:p>
        </w:tc>
        <w:tc>
          <w:tcPr>
            <w:tcW w:w="8654" w:type="dxa"/>
            <w:gridSpan w:val="2"/>
            <w:tcBorders>
              <w:tl2br w:val="nil"/>
              <w:tr2bl w:val="nil"/>
            </w:tcBorders>
            <w:vAlign w:val="center"/>
          </w:tcPr>
          <w:p w14:paraId="587FA376">
            <w:pPr>
              <w:snapToGrid/>
              <w:spacing w:line="240" w:lineRule="auto"/>
              <w:jc w:val="both"/>
              <w:rPr>
                <w:rFonts w:ascii="宋体" w:hAnsi="宋体"/>
                <w:b/>
                <w:color w:val="auto"/>
                <w:szCs w:val="21"/>
                <w:highlight w:val="none"/>
              </w:rPr>
            </w:pPr>
            <w:r>
              <w:rPr>
                <w:rFonts w:hint="eastAsia" w:ascii="宋体" w:hAnsi="宋体"/>
                <w:b/>
                <w:color w:val="auto"/>
                <w:szCs w:val="21"/>
                <w:highlight w:val="none"/>
              </w:rPr>
              <w:t>综合评分法评分因素和权重分值</w:t>
            </w:r>
          </w:p>
        </w:tc>
      </w:tr>
      <w:tr w14:paraId="718A6BE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223" w:hRule="atLeast"/>
          <w:jc w:val="center"/>
        </w:trPr>
        <w:tc>
          <w:tcPr>
            <w:tcW w:w="878" w:type="dxa"/>
            <w:vMerge w:val="continue"/>
            <w:tcBorders>
              <w:tl2br w:val="nil"/>
              <w:tr2bl w:val="nil"/>
            </w:tcBorders>
            <w:vAlign w:val="center"/>
          </w:tcPr>
          <w:p w14:paraId="5A9A708F">
            <w:pPr>
              <w:snapToGrid/>
              <w:spacing w:line="240" w:lineRule="auto"/>
              <w:jc w:val="center"/>
              <w:rPr>
                <w:rFonts w:ascii="宋体" w:hAnsi="宋体"/>
                <w:color w:val="auto"/>
                <w:szCs w:val="21"/>
                <w:highlight w:val="none"/>
              </w:rPr>
            </w:pPr>
          </w:p>
        </w:tc>
        <w:tc>
          <w:tcPr>
            <w:tcW w:w="8654" w:type="dxa"/>
            <w:gridSpan w:val="2"/>
            <w:tcBorders>
              <w:tl2br w:val="nil"/>
              <w:tr2bl w:val="nil"/>
            </w:tcBorders>
            <w:vAlign w:val="center"/>
          </w:tcPr>
          <w:p w14:paraId="1E23FF26">
            <w:pPr>
              <w:snapToGrid/>
              <w:spacing w:line="240" w:lineRule="auto"/>
              <w:jc w:val="both"/>
              <w:rPr>
                <w:rFonts w:ascii="宋体" w:hAnsi="宋体"/>
                <w:b/>
                <w:color w:val="auto"/>
                <w:szCs w:val="21"/>
                <w:highlight w:val="none"/>
              </w:rPr>
            </w:pPr>
            <w:r>
              <w:rPr>
                <w:rFonts w:hint="eastAsia" w:ascii="宋体" w:hAnsi="宋体"/>
                <w:color w:val="auto"/>
                <w:szCs w:val="21"/>
                <w:highlight w:val="none"/>
              </w:rPr>
              <w:t>见附表二。</w:t>
            </w:r>
          </w:p>
        </w:tc>
      </w:tr>
      <w:tr w14:paraId="50243FA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123" w:hRule="atLeast"/>
          <w:jc w:val="center"/>
        </w:trPr>
        <w:tc>
          <w:tcPr>
            <w:tcW w:w="878" w:type="dxa"/>
            <w:vMerge w:val="restart"/>
            <w:tcBorders>
              <w:tl2br w:val="nil"/>
              <w:tr2bl w:val="nil"/>
            </w:tcBorders>
            <w:vAlign w:val="center"/>
          </w:tcPr>
          <w:p w14:paraId="6774E036">
            <w:pPr>
              <w:snapToGrid/>
              <w:spacing w:line="240" w:lineRule="auto"/>
              <w:jc w:val="center"/>
              <w:rPr>
                <w:rFonts w:ascii="宋体" w:hAnsi="宋体"/>
                <w:color w:val="auto"/>
                <w:szCs w:val="21"/>
                <w:highlight w:val="none"/>
              </w:rPr>
            </w:pPr>
            <w:r>
              <w:rPr>
                <w:rFonts w:hint="eastAsia" w:ascii="宋体" w:hAnsi="宋体"/>
                <w:color w:val="auto"/>
                <w:szCs w:val="21"/>
                <w:highlight w:val="none"/>
              </w:rPr>
              <w:t>14</w:t>
            </w:r>
          </w:p>
        </w:tc>
        <w:tc>
          <w:tcPr>
            <w:tcW w:w="8654" w:type="dxa"/>
            <w:gridSpan w:val="2"/>
            <w:tcBorders>
              <w:tl2br w:val="nil"/>
              <w:tr2bl w:val="nil"/>
            </w:tcBorders>
            <w:vAlign w:val="center"/>
          </w:tcPr>
          <w:p w14:paraId="7031A4A6">
            <w:pPr>
              <w:snapToGrid/>
              <w:spacing w:line="240" w:lineRule="auto"/>
              <w:jc w:val="both"/>
              <w:rPr>
                <w:rFonts w:ascii="宋体" w:hAnsi="宋体"/>
                <w:color w:val="auto"/>
                <w:szCs w:val="21"/>
                <w:highlight w:val="none"/>
              </w:rPr>
            </w:pPr>
            <w:r>
              <w:rPr>
                <w:rFonts w:hint="eastAsia" w:ascii="宋体" w:hAnsi="宋体"/>
                <w:b/>
                <w:color w:val="auto"/>
                <w:szCs w:val="21"/>
                <w:highlight w:val="none"/>
              </w:rPr>
              <w:t>评标委员会</w:t>
            </w:r>
          </w:p>
        </w:tc>
      </w:tr>
      <w:tr w14:paraId="22A3A0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486" w:hRule="atLeast"/>
          <w:jc w:val="center"/>
        </w:trPr>
        <w:tc>
          <w:tcPr>
            <w:tcW w:w="878" w:type="dxa"/>
            <w:vMerge w:val="continue"/>
            <w:tcBorders>
              <w:tl2br w:val="nil"/>
              <w:tr2bl w:val="nil"/>
            </w:tcBorders>
            <w:vAlign w:val="center"/>
          </w:tcPr>
          <w:p w14:paraId="4FAD7BEE">
            <w:pPr>
              <w:snapToGrid/>
              <w:spacing w:line="240" w:lineRule="auto"/>
              <w:jc w:val="center"/>
              <w:rPr>
                <w:rFonts w:ascii="宋体" w:hAnsi="宋体"/>
                <w:color w:val="auto"/>
                <w:szCs w:val="21"/>
                <w:highlight w:val="none"/>
              </w:rPr>
            </w:pPr>
          </w:p>
        </w:tc>
        <w:tc>
          <w:tcPr>
            <w:tcW w:w="8654" w:type="dxa"/>
            <w:gridSpan w:val="2"/>
            <w:tcBorders>
              <w:tl2br w:val="nil"/>
              <w:tr2bl w:val="nil"/>
            </w:tcBorders>
            <w:vAlign w:val="center"/>
          </w:tcPr>
          <w:p w14:paraId="5B8D2210">
            <w:pPr>
              <w:snapToGrid/>
              <w:spacing w:line="240" w:lineRule="auto"/>
              <w:jc w:val="both"/>
              <w:rPr>
                <w:rFonts w:ascii="宋体" w:hAnsi="宋体"/>
                <w:color w:val="auto"/>
                <w:szCs w:val="21"/>
                <w:highlight w:val="none"/>
              </w:rPr>
            </w:pPr>
            <w:r>
              <w:rPr>
                <w:rFonts w:hint="eastAsia" w:ascii="宋体" w:hAnsi="宋体"/>
                <w:color w:val="auto"/>
                <w:szCs w:val="21"/>
                <w:highlight w:val="none"/>
              </w:rPr>
              <w:t>评标委员会成员共</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五</w:t>
            </w:r>
            <w:r>
              <w:rPr>
                <w:rFonts w:hint="eastAsia" w:ascii="宋体" w:hAnsi="宋体"/>
                <w:color w:val="auto"/>
                <w:szCs w:val="21"/>
                <w:highlight w:val="none"/>
                <w:u w:val="single"/>
              </w:rPr>
              <w:t xml:space="preserve"> </w:t>
            </w:r>
            <w:r>
              <w:rPr>
                <w:rFonts w:hint="eastAsia" w:ascii="宋体" w:hAnsi="宋体"/>
                <w:color w:val="auto"/>
                <w:szCs w:val="21"/>
                <w:highlight w:val="none"/>
              </w:rPr>
              <w:t>人：</w:t>
            </w:r>
            <w:r>
              <w:rPr>
                <w:rFonts w:hint="eastAsia" w:ascii="宋体" w:hAnsi="宋体"/>
                <w:color w:val="auto"/>
                <w:szCs w:val="21"/>
                <w:highlight w:val="none"/>
                <w:lang w:val="zh-CN"/>
              </w:rPr>
              <w:t>评标委员会由采购人</w:t>
            </w:r>
            <w:r>
              <w:rPr>
                <w:rFonts w:hint="eastAsia" w:ascii="宋体" w:hAnsi="宋体"/>
                <w:color w:val="auto"/>
                <w:szCs w:val="21"/>
                <w:highlight w:val="none"/>
              </w:rPr>
              <w:t>的</w:t>
            </w:r>
            <w:r>
              <w:rPr>
                <w:rFonts w:hint="eastAsia" w:ascii="宋体" w:hAnsi="宋体"/>
                <w:color w:val="auto"/>
                <w:szCs w:val="21"/>
                <w:highlight w:val="none"/>
                <w:lang w:val="zh-CN"/>
              </w:rPr>
              <w:t>代表和</w:t>
            </w:r>
            <w:r>
              <w:rPr>
                <w:rFonts w:hint="eastAsia" w:ascii="宋体" w:hAnsi="宋体"/>
                <w:color w:val="auto"/>
                <w:szCs w:val="21"/>
                <w:highlight w:val="none"/>
              </w:rPr>
              <w:t>有关方面的</w:t>
            </w:r>
            <w:r>
              <w:rPr>
                <w:rFonts w:hint="eastAsia" w:ascii="宋体" w:hAnsi="宋体"/>
                <w:color w:val="auto"/>
                <w:szCs w:val="21"/>
                <w:highlight w:val="none"/>
                <w:lang w:val="zh-CN"/>
              </w:rPr>
              <w:t>专家组成，</w:t>
            </w:r>
            <w:r>
              <w:rPr>
                <w:rFonts w:hint="eastAsia" w:ascii="宋体" w:hAnsi="宋体"/>
                <w:color w:val="auto"/>
                <w:szCs w:val="21"/>
                <w:highlight w:val="none"/>
              </w:rPr>
              <w:t>成员人数为五人或五人以上单数</w:t>
            </w:r>
            <w:r>
              <w:rPr>
                <w:rFonts w:hint="eastAsia" w:ascii="宋体" w:hAnsi="宋体"/>
                <w:color w:val="auto"/>
                <w:szCs w:val="21"/>
                <w:highlight w:val="none"/>
                <w:lang w:val="zh-CN"/>
              </w:rPr>
              <w:t>，其中专家不得少于成员总数的三分之二。</w:t>
            </w:r>
          </w:p>
        </w:tc>
      </w:tr>
      <w:tr w14:paraId="7D94DE6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cantSplit/>
          <w:trHeight w:val="680" w:hRule="atLeast"/>
          <w:jc w:val="center"/>
        </w:trPr>
        <w:tc>
          <w:tcPr>
            <w:tcW w:w="9532" w:type="dxa"/>
            <w:gridSpan w:val="3"/>
            <w:tcBorders>
              <w:tl2br w:val="nil"/>
              <w:tr2bl w:val="nil"/>
            </w:tcBorders>
            <w:vAlign w:val="center"/>
          </w:tcPr>
          <w:p w14:paraId="5D620FD3">
            <w:pPr>
              <w:snapToGrid/>
              <w:spacing w:line="240" w:lineRule="auto"/>
              <w:jc w:val="center"/>
              <w:rPr>
                <w:rFonts w:ascii="宋体" w:hAnsi="宋体"/>
                <w:b/>
                <w:color w:val="auto"/>
                <w:szCs w:val="21"/>
                <w:highlight w:val="none"/>
              </w:rPr>
            </w:pPr>
            <w:r>
              <w:rPr>
                <w:rFonts w:hint="eastAsia" w:ascii="宋体" w:hAnsi="宋体"/>
                <w:b/>
                <w:color w:val="auto"/>
                <w:szCs w:val="21"/>
                <w:highlight w:val="none"/>
              </w:rPr>
              <w:t>四、授予合同</w:t>
            </w:r>
          </w:p>
        </w:tc>
      </w:tr>
      <w:tr w14:paraId="4C40730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336" w:hRule="atLeast"/>
          <w:jc w:val="center"/>
        </w:trPr>
        <w:tc>
          <w:tcPr>
            <w:tcW w:w="878" w:type="dxa"/>
            <w:vMerge w:val="restart"/>
            <w:tcBorders>
              <w:tl2br w:val="nil"/>
              <w:tr2bl w:val="nil"/>
            </w:tcBorders>
            <w:vAlign w:val="center"/>
          </w:tcPr>
          <w:p w14:paraId="4194579B">
            <w:pPr>
              <w:snapToGrid/>
              <w:spacing w:line="240" w:lineRule="auto"/>
              <w:jc w:val="center"/>
              <w:rPr>
                <w:rFonts w:ascii="宋体" w:hAnsi="宋体"/>
                <w:color w:val="auto"/>
                <w:szCs w:val="21"/>
                <w:highlight w:val="none"/>
              </w:rPr>
            </w:pPr>
            <w:r>
              <w:rPr>
                <w:rFonts w:hint="eastAsia" w:ascii="宋体" w:hAnsi="宋体"/>
                <w:color w:val="auto"/>
                <w:szCs w:val="21"/>
                <w:highlight w:val="none"/>
              </w:rPr>
              <w:t>15</w:t>
            </w:r>
          </w:p>
        </w:tc>
        <w:tc>
          <w:tcPr>
            <w:tcW w:w="8654" w:type="dxa"/>
            <w:gridSpan w:val="2"/>
            <w:tcBorders>
              <w:tl2br w:val="nil"/>
              <w:tr2bl w:val="nil"/>
            </w:tcBorders>
            <w:shd w:val="clear" w:color="auto" w:fill="auto"/>
            <w:vAlign w:val="center"/>
          </w:tcPr>
          <w:p w14:paraId="49B30392">
            <w:pPr>
              <w:snapToGrid/>
              <w:spacing w:line="240" w:lineRule="auto"/>
              <w:jc w:val="both"/>
              <w:rPr>
                <w:rFonts w:ascii="宋体" w:hAnsi="宋体"/>
                <w:b/>
                <w:color w:val="auto"/>
                <w:szCs w:val="21"/>
                <w:highlight w:val="none"/>
              </w:rPr>
            </w:pPr>
            <w:r>
              <w:rPr>
                <w:rFonts w:hint="eastAsia" w:ascii="宋体" w:hAnsi="宋体"/>
                <w:b/>
                <w:color w:val="auto"/>
                <w:szCs w:val="21"/>
                <w:highlight w:val="none"/>
              </w:rPr>
              <w:t>履约担保</w:t>
            </w:r>
          </w:p>
        </w:tc>
      </w:tr>
      <w:tr w14:paraId="5F7A76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567" w:hRule="atLeast"/>
          <w:jc w:val="center"/>
        </w:trPr>
        <w:tc>
          <w:tcPr>
            <w:tcW w:w="878" w:type="dxa"/>
            <w:vMerge w:val="continue"/>
            <w:tcBorders>
              <w:tl2br w:val="nil"/>
              <w:tr2bl w:val="nil"/>
            </w:tcBorders>
            <w:vAlign w:val="center"/>
          </w:tcPr>
          <w:p w14:paraId="290A40A0">
            <w:pPr>
              <w:snapToGrid/>
              <w:spacing w:line="240" w:lineRule="auto"/>
              <w:jc w:val="center"/>
              <w:rPr>
                <w:rFonts w:ascii="宋体" w:hAnsi="宋体"/>
                <w:color w:val="auto"/>
                <w:szCs w:val="21"/>
                <w:highlight w:val="none"/>
              </w:rPr>
            </w:pPr>
          </w:p>
        </w:tc>
        <w:tc>
          <w:tcPr>
            <w:tcW w:w="8654" w:type="dxa"/>
            <w:gridSpan w:val="2"/>
            <w:tcBorders>
              <w:tl2br w:val="nil"/>
              <w:tr2bl w:val="nil"/>
            </w:tcBorders>
            <w:shd w:val="clear" w:color="auto" w:fill="auto"/>
            <w:vAlign w:val="center"/>
          </w:tcPr>
          <w:p w14:paraId="743FA30A">
            <w:pPr>
              <w:snapToGrid/>
              <w:spacing w:line="360" w:lineRule="auto"/>
              <w:jc w:val="both"/>
              <w:rPr>
                <w:rFonts w:ascii="宋体" w:hAnsi="宋体"/>
                <w:color w:val="auto"/>
                <w:szCs w:val="21"/>
                <w:highlight w:val="none"/>
              </w:rPr>
            </w:pPr>
            <w:r>
              <w:rPr>
                <w:rFonts w:hint="eastAsia" w:ascii="宋体" w:hAnsi="宋体"/>
                <w:color w:val="auto"/>
                <w:szCs w:val="21"/>
                <w:highlight w:val="none"/>
              </w:rPr>
              <w:t>1.履约担保金额为：</w:t>
            </w:r>
            <w:r>
              <w:rPr>
                <w:rFonts w:hint="eastAsia" w:ascii="宋体" w:hAnsi="宋体"/>
                <w:color w:val="auto"/>
                <w:szCs w:val="21"/>
                <w:highlight w:val="none"/>
                <w:u w:val="single"/>
              </w:rPr>
              <w:t xml:space="preserve">  </w:t>
            </w:r>
            <w:r>
              <w:rPr>
                <w:rFonts w:hint="eastAsia" w:ascii="宋体" w:hAnsi="宋体" w:eastAsia="宋体" w:cs="宋体"/>
                <w:color w:val="auto"/>
                <w:szCs w:val="21"/>
                <w:highlight w:val="none"/>
                <w:u w:val="single"/>
              </w:rPr>
              <w:t>合同</w:t>
            </w:r>
            <w:r>
              <w:rPr>
                <w:rFonts w:hint="eastAsia" w:ascii="宋体" w:hAnsi="宋体"/>
                <w:color w:val="auto"/>
                <w:szCs w:val="21"/>
                <w:highlight w:val="none"/>
                <w:u w:val="single"/>
              </w:rPr>
              <w:t>金额的10%  。</w:t>
            </w:r>
          </w:p>
          <w:p w14:paraId="2E5F328E">
            <w:pPr>
              <w:snapToGrid/>
              <w:spacing w:line="360" w:lineRule="auto"/>
              <w:jc w:val="both"/>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olor w:val="auto"/>
                <w:szCs w:val="21"/>
                <w:highlight w:val="none"/>
              </w:rPr>
              <w:t>履约保证金账户信息：</w:t>
            </w:r>
          </w:p>
          <w:p w14:paraId="58F24C39">
            <w:pPr>
              <w:keepNext w:val="0"/>
              <w:keepLines w:val="0"/>
              <w:pageBreakBefore w:val="0"/>
              <w:widowControl/>
              <w:kinsoku/>
              <w:wordWrap/>
              <w:overflowPunct/>
              <w:topLinePunct w:val="0"/>
              <w:autoSpaceDE/>
              <w:autoSpaceDN/>
              <w:bidi w:val="0"/>
              <w:adjustRightInd w:val="0"/>
              <w:snapToGrid/>
              <w:spacing w:line="360" w:lineRule="auto"/>
              <w:ind w:firstLine="420" w:firstLineChars="200"/>
              <w:jc w:val="both"/>
              <w:textAlignment w:val="auto"/>
              <w:rPr>
                <w:rFonts w:hint="eastAsia" w:ascii="宋体" w:hAnsi="宋体" w:eastAsia="宋体"/>
                <w:color w:val="auto"/>
                <w:szCs w:val="21"/>
                <w:highlight w:val="none"/>
                <w:u w:val="single"/>
                <w:lang w:eastAsia="zh-CN"/>
              </w:rPr>
            </w:pPr>
            <w:r>
              <w:rPr>
                <w:rFonts w:hint="eastAsia" w:ascii="宋体" w:hAnsi="宋体"/>
                <w:color w:val="auto"/>
                <w:szCs w:val="21"/>
                <w:highlight w:val="none"/>
              </w:rPr>
              <w:t>账户名称</w:t>
            </w:r>
            <w:r>
              <w:rPr>
                <w:rFonts w:hint="eastAsia" w:ascii="宋体" w:hAnsi="宋体"/>
                <w:color w:val="auto"/>
                <w:szCs w:val="21"/>
                <w:highlight w:val="none"/>
                <w:lang w:eastAsia="zh-CN"/>
              </w:rPr>
              <w:t>：</w:t>
            </w:r>
            <w:r>
              <w:rPr>
                <w:rFonts w:hint="eastAsia" w:ascii="宋体" w:hAnsi="宋体"/>
                <w:color w:val="auto"/>
                <w:szCs w:val="21"/>
                <w:highlight w:val="none"/>
                <w:u w:val="single"/>
                <w:lang w:eastAsia="zh-CN"/>
              </w:rPr>
              <w:t>广东东实环境股份有限公司；</w:t>
            </w:r>
          </w:p>
          <w:p w14:paraId="0AAE3425">
            <w:pPr>
              <w:keepNext w:val="0"/>
              <w:keepLines w:val="0"/>
              <w:pageBreakBefore w:val="0"/>
              <w:widowControl/>
              <w:kinsoku/>
              <w:wordWrap/>
              <w:overflowPunct/>
              <w:topLinePunct w:val="0"/>
              <w:autoSpaceDE/>
              <w:autoSpaceDN/>
              <w:bidi w:val="0"/>
              <w:adjustRightInd/>
              <w:snapToGrid/>
              <w:spacing w:line="240" w:lineRule="auto"/>
              <w:ind w:firstLine="420" w:firstLineChars="200"/>
              <w:jc w:val="both"/>
              <w:textAlignment w:val="auto"/>
              <w:rPr>
                <w:rFonts w:hint="eastAsia" w:ascii="宋体" w:hAnsi="宋体" w:eastAsia="宋体"/>
                <w:color w:val="auto"/>
                <w:szCs w:val="21"/>
                <w:highlight w:val="none"/>
                <w:u w:val="single"/>
                <w:lang w:eastAsia="zh-CN"/>
              </w:rPr>
            </w:pPr>
            <w:r>
              <w:rPr>
                <w:rFonts w:hint="eastAsia" w:ascii="宋体" w:hAnsi="宋体"/>
                <w:color w:val="auto"/>
                <w:szCs w:val="21"/>
                <w:highlight w:val="none"/>
              </w:rPr>
              <w:t>开户银行：</w:t>
            </w:r>
            <w:r>
              <w:rPr>
                <w:rFonts w:hint="eastAsia" w:ascii="宋体" w:hAnsi="宋体"/>
                <w:color w:val="000000" w:themeColor="text1"/>
                <w:szCs w:val="21"/>
                <w:u w:val="single"/>
                <w14:textFill>
                  <w14:solidFill>
                    <w14:schemeClr w14:val="tx1"/>
                  </w14:solidFill>
                </w14:textFill>
              </w:rPr>
              <w:t>东莞农村商业银行中心支行</w:t>
            </w:r>
            <w:r>
              <w:rPr>
                <w:rFonts w:hint="eastAsia" w:ascii="宋体" w:hAnsi="宋体"/>
                <w:color w:val="auto"/>
                <w:szCs w:val="21"/>
                <w:highlight w:val="none"/>
                <w:u w:val="single"/>
                <w:lang w:eastAsia="zh-CN"/>
              </w:rPr>
              <w:t>；</w:t>
            </w:r>
          </w:p>
          <w:p w14:paraId="47536E34">
            <w:pPr>
              <w:keepNext w:val="0"/>
              <w:keepLines w:val="0"/>
              <w:pageBreakBefore w:val="0"/>
              <w:widowControl/>
              <w:kinsoku/>
              <w:wordWrap/>
              <w:overflowPunct/>
              <w:topLinePunct w:val="0"/>
              <w:autoSpaceDE/>
              <w:autoSpaceDN/>
              <w:bidi w:val="0"/>
              <w:adjustRightInd w:val="0"/>
              <w:snapToGrid/>
              <w:spacing w:line="360" w:lineRule="auto"/>
              <w:ind w:firstLine="420" w:firstLineChars="200"/>
              <w:jc w:val="both"/>
              <w:textAlignment w:val="auto"/>
              <w:rPr>
                <w:rFonts w:hint="eastAsia" w:ascii="宋体" w:hAnsi="宋体" w:eastAsia="宋体"/>
                <w:color w:val="auto"/>
                <w:szCs w:val="21"/>
                <w:highlight w:val="none"/>
                <w:u w:val="single"/>
                <w:lang w:eastAsia="zh-CN"/>
              </w:rPr>
            </w:pPr>
            <w:r>
              <w:rPr>
                <w:rFonts w:hint="eastAsia" w:ascii="宋体" w:hAnsi="宋体"/>
                <w:color w:val="auto"/>
                <w:szCs w:val="21"/>
                <w:highlight w:val="none"/>
              </w:rPr>
              <w:t>银行账号：</w:t>
            </w:r>
            <w:r>
              <w:rPr>
                <w:rFonts w:hint="eastAsia" w:ascii="宋体" w:hAnsi="宋体"/>
                <w:color w:val="auto"/>
                <w:szCs w:val="21"/>
                <w:highlight w:val="none"/>
                <w:u w:val="single"/>
                <w:lang w:val="en-US" w:eastAsia="zh-CN"/>
              </w:rPr>
              <w:t xml:space="preserve">  </w:t>
            </w:r>
            <w:r>
              <w:rPr>
                <w:rFonts w:hint="eastAsia" w:ascii="宋体" w:hAnsi="宋体"/>
                <w:color w:val="000000" w:themeColor="text1"/>
                <w:szCs w:val="21"/>
                <w:u w:val="single"/>
                <w14:textFill>
                  <w14:solidFill>
                    <w14:schemeClr w14:val="tx1"/>
                  </w14:solidFill>
                </w14:textFill>
              </w:rPr>
              <w:t>380010190010009298</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lang w:eastAsia="zh-CN"/>
              </w:rPr>
              <w:t>；</w:t>
            </w:r>
          </w:p>
          <w:p w14:paraId="23083137">
            <w:pPr>
              <w:snapToGrid/>
              <w:spacing w:line="360" w:lineRule="auto"/>
              <w:jc w:val="both"/>
              <w:rPr>
                <w:rFonts w:ascii="宋体" w:hAnsi="宋体"/>
                <w:color w:val="auto"/>
                <w:szCs w:val="21"/>
                <w:highlight w:val="none"/>
              </w:rPr>
            </w:pPr>
            <w:r>
              <w:rPr>
                <w:rFonts w:hint="eastAsia" w:ascii="宋体" w:hAnsi="宋体"/>
                <w:color w:val="auto"/>
                <w:szCs w:val="21"/>
                <w:highlight w:val="none"/>
              </w:rPr>
              <w:t>3.中标人在采购（合同签署）时提交履约担保，履约担保金额</w:t>
            </w:r>
            <w:r>
              <w:rPr>
                <w:rFonts w:hint="eastAsia" w:ascii="宋体" w:hAnsi="宋体"/>
                <w:color w:val="auto"/>
                <w:szCs w:val="21"/>
                <w:highlight w:val="none"/>
                <w:lang w:val="en-US" w:eastAsia="zh-CN"/>
              </w:rPr>
              <w:t>不超过</w:t>
            </w:r>
            <w:r>
              <w:rPr>
                <w:rFonts w:hint="eastAsia" w:ascii="宋体" w:hAnsi="宋体"/>
                <w:color w:val="auto"/>
                <w:szCs w:val="21"/>
                <w:highlight w:val="none"/>
              </w:rPr>
              <w:t>成交合同金额的10%，如果中标人提交的履约保函的有效期先于合同要求的履约保函有效期到达，中标人应在原提交的履约保函有效期满前15天，无条件办理保函延期手续。否则，视为中标人违约，采购人可在保函到期前将保函金额转为现金存入履约保证金</w:t>
            </w:r>
            <w:r>
              <w:rPr>
                <w:rFonts w:hint="eastAsia" w:ascii="宋体" w:hAnsi="宋体"/>
                <w:color w:val="auto"/>
                <w:szCs w:val="21"/>
                <w:highlight w:val="none"/>
                <w:lang w:eastAsia="zh-CN"/>
              </w:rPr>
              <w:t>账</w:t>
            </w:r>
            <w:r>
              <w:rPr>
                <w:rFonts w:hint="eastAsia" w:ascii="宋体" w:hAnsi="宋体"/>
                <w:color w:val="auto"/>
                <w:szCs w:val="21"/>
                <w:highlight w:val="none"/>
              </w:rPr>
              <w:t>户。</w:t>
            </w:r>
          </w:p>
          <w:p w14:paraId="439973EB">
            <w:pPr>
              <w:snapToGrid/>
              <w:spacing w:line="360" w:lineRule="auto"/>
              <w:jc w:val="both"/>
              <w:rPr>
                <w:rFonts w:ascii="宋体" w:hAnsi="宋体"/>
                <w:color w:val="auto"/>
                <w:szCs w:val="21"/>
                <w:highlight w:val="none"/>
              </w:rPr>
            </w:pPr>
            <w:r>
              <w:rPr>
                <w:rFonts w:hint="eastAsia" w:ascii="宋体" w:hAnsi="宋体"/>
                <w:color w:val="auto"/>
                <w:szCs w:val="21"/>
                <w:highlight w:val="none"/>
              </w:rPr>
              <w:t>4.履约担保期限从合同签订之日起至</w:t>
            </w:r>
            <w:r>
              <w:rPr>
                <w:rFonts w:hint="eastAsia" w:ascii="宋体" w:hAnsi="宋体"/>
                <w:color w:val="auto"/>
                <w:szCs w:val="21"/>
                <w:highlight w:val="none"/>
                <w:lang w:val="en-US" w:eastAsia="zh-CN"/>
              </w:rPr>
              <w:t>采购人</w:t>
            </w:r>
            <w:r>
              <w:rPr>
                <w:rFonts w:hint="eastAsia" w:ascii="宋体" w:hAnsi="宋体"/>
                <w:color w:val="auto"/>
                <w:szCs w:val="21"/>
                <w:highlight w:val="none"/>
              </w:rPr>
              <w:t>拿到麻涌餐厨项目预处理系统提效工程环保技术服务竣工环保验环报告及取得相关部门备案审批之日。</w:t>
            </w:r>
          </w:p>
          <w:p w14:paraId="418437AC">
            <w:pPr>
              <w:snapToGrid/>
              <w:spacing w:line="360" w:lineRule="auto"/>
              <w:jc w:val="both"/>
              <w:rPr>
                <w:rFonts w:ascii="宋体" w:hAnsi="宋体"/>
                <w:color w:val="auto"/>
                <w:szCs w:val="21"/>
                <w:highlight w:val="none"/>
              </w:rPr>
            </w:pPr>
            <w:r>
              <w:rPr>
                <w:rFonts w:hint="eastAsia" w:ascii="宋体" w:hAnsi="宋体"/>
                <w:color w:val="auto"/>
                <w:szCs w:val="21"/>
                <w:highlight w:val="none"/>
              </w:rPr>
              <w:t>5、履约担保要求：</w:t>
            </w:r>
          </w:p>
          <w:p w14:paraId="5B48819C">
            <w:pPr>
              <w:snapToGrid/>
              <w:spacing w:line="360" w:lineRule="auto"/>
              <w:jc w:val="both"/>
              <w:rPr>
                <w:rFonts w:ascii="宋体" w:hAnsi="宋体"/>
                <w:color w:val="auto"/>
                <w:szCs w:val="21"/>
                <w:highlight w:val="none"/>
              </w:rPr>
            </w:pPr>
            <w:r>
              <w:rPr>
                <w:rFonts w:hint="eastAsia" w:ascii="宋体" w:hAnsi="宋体"/>
                <w:color w:val="auto"/>
                <w:szCs w:val="21"/>
                <w:highlight w:val="none"/>
              </w:rPr>
              <w:t>（1）履约保函。如果中标人的履约担保是以</w:t>
            </w:r>
            <w:r>
              <w:rPr>
                <w:rFonts w:hint="eastAsia" w:ascii="宋体" w:hAnsi="宋体"/>
                <w:b/>
                <w:bCs/>
                <w:color w:val="auto"/>
                <w:szCs w:val="21"/>
                <w:highlight w:val="none"/>
              </w:rPr>
              <w:t>银行保函</w:t>
            </w:r>
            <w:r>
              <w:rPr>
                <w:rFonts w:hint="eastAsia" w:ascii="宋体" w:hAnsi="宋体"/>
                <w:color w:val="auto"/>
                <w:szCs w:val="21"/>
                <w:highlight w:val="none"/>
              </w:rPr>
              <w:t>形式提供的，则该银行保函应：</w:t>
            </w:r>
          </w:p>
          <w:p w14:paraId="0F7BE413">
            <w:pPr>
              <w:snapToGrid/>
              <w:spacing w:line="360" w:lineRule="auto"/>
              <w:jc w:val="both"/>
              <w:rPr>
                <w:rFonts w:ascii="宋体" w:hAnsi="宋体"/>
                <w:color w:val="auto"/>
                <w:szCs w:val="21"/>
                <w:highlight w:val="none"/>
              </w:rPr>
            </w:pPr>
            <w:r>
              <w:rPr>
                <w:rFonts w:hint="eastAsia" w:ascii="宋体" w:hAnsi="宋体"/>
                <w:color w:val="auto"/>
                <w:szCs w:val="21"/>
                <w:highlight w:val="none"/>
              </w:rPr>
              <w:t>①保函应由银行支行或以上银行机构开具。</w:t>
            </w:r>
          </w:p>
          <w:p w14:paraId="670C63A2">
            <w:pPr>
              <w:snapToGrid/>
              <w:spacing w:line="360" w:lineRule="auto"/>
              <w:jc w:val="both"/>
              <w:rPr>
                <w:rFonts w:ascii="宋体" w:hAnsi="宋体"/>
                <w:color w:val="auto"/>
                <w:szCs w:val="21"/>
                <w:highlight w:val="none"/>
              </w:rPr>
            </w:pPr>
            <w:r>
              <w:rPr>
                <w:rFonts w:hint="eastAsia" w:ascii="宋体" w:hAnsi="宋体"/>
                <w:color w:val="auto"/>
                <w:szCs w:val="21"/>
                <w:highlight w:val="none"/>
              </w:rPr>
              <w:t>②保函的格式参考投标文件附件中提供的无条件不可撤销履约保函格式，保函担保期内若项目未能按期竣工，保函必须延期，办理延期手续时在银行方面所产生费用由中标人负责。</w:t>
            </w:r>
          </w:p>
          <w:p w14:paraId="37C79039">
            <w:pPr>
              <w:snapToGrid/>
              <w:spacing w:line="360" w:lineRule="auto"/>
              <w:jc w:val="both"/>
              <w:rPr>
                <w:rFonts w:ascii="宋体" w:hAnsi="宋体"/>
                <w:color w:val="auto"/>
                <w:szCs w:val="21"/>
                <w:highlight w:val="none"/>
              </w:rPr>
            </w:pPr>
            <w:r>
              <w:rPr>
                <w:rFonts w:hint="eastAsia" w:ascii="宋体" w:hAnsi="宋体"/>
                <w:color w:val="auto"/>
                <w:szCs w:val="21"/>
                <w:highlight w:val="none"/>
              </w:rPr>
              <w:t>③履约保函必须打印，手写、涂改无效。</w:t>
            </w:r>
          </w:p>
          <w:p w14:paraId="18EE90C7">
            <w:pPr>
              <w:snapToGrid/>
              <w:spacing w:line="360" w:lineRule="auto"/>
              <w:jc w:val="both"/>
              <w:rPr>
                <w:rFonts w:ascii="宋体" w:hAnsi="宋体"/>
                <w:color w:val="auto"/>
                <w:szCs w:val="21"/>
                <w:highlight w:val="none"/>
              </w:rPr>
            </w:pPr>
            <w:r>
              <w:rPr>
                <w:rFonts w:hint="eastAsia" w:ascii="宋体" w:hAnsi="宋体"/>
                <w:color w:val="auto"/>
                <w:szCs w:val="21"/>
                <w:highlight w:val="none"/>
              </w:rPr>
              <w:t>（2）履约保证金。可采用电汇、银行汇票等银行转</w:t>
            </w:r>
            <w:r>
              <w:rPr>
                <w:rFonts w:hint="eastAsia" w:ascii="宋体" w:hAnsi="宋体"/>
                <w:color w:val="auto"/>
                <w:szCs w:val="21"/>
                <w:highlight w:val="none"/>
                <w:lang w:eastAsia="zh-CN"/>
              </w:rPr>
              <w:t>账</w:t>
            </w:r>
            <w:r>
              <w:rPr>
                <w:rFonts w:hint="eastAsia" w:ascii="宋体" w:hAnsi="宋体"/>
                <w:color w:val="auto"/>
                <w:szCs w:val="21"/>
                <w:highlight w:val="none"/>
              </w:rPr>
              <w:t>方式提交，但不可以采用现金方式提交。中标人必须保证履约保证金以中标人名称在签订合同前提交至采购人指定账户。</w:t>
            </w:r>
          </w:p>
          <w:p w14:paraId="5DDDBADF">
            <w:pPr>
              <w:snapToGrid/>
              <w:spacing w:line="360" w:lineRule="auto"/>
              <w:jc w:val="both"/>
              <w:rPr>
                <w:rFonts w:ascii="宋体" w:hAnsi="宋体"/>
                <w:color w:val="auto"/>
                <w:szCs w:val="21"/>
                <w:highlight w:val="none"/>
              </w:rPr>
            </w:pPr>
            <w:r>
              <w:rPr>
                <w:rFonts w:hint="eastAsia" w:ascii="宋体" w:hAnsi="宋体"/>
                <w:color w:val="auto"/>
                <w:szCs w:val="21"/>
                <w:highlight w:val="none"/>
              </w:rPr>
              <w:t>（3）若中标人不能按本采购文件的规定提交履约保证金的，采购人将有权取消中标人的中标资格（采购人可以按照评标委员会提出的中标候选人名单排序依次确定其他中标候选人为中标人，也可以重新采购），投标保证金不予退还，给采购人造成的损失如果超过投标保证金数额的，还应当对超过部分予以赔偿。</w:t>
            </w:r>
          </w:p>
          <w:p w14:paraId="40B5FC96">
            <w:pPr>
              <w:snapToGrid/>
              <w:spacing w:line="360" w:lineRule="auto"/>
              <w:jc w:val="both"/>
              <w:rPr>
                <w:rFonts w:ascii="宋体" w:hAnsi="宋体"/>
                <w:color w:val="auto"/>
                <w:szCs w:val="21"/>
                <w:highlight w:val="none"/>
              </w:rPr>
            </w:pPr>
            <w:r>
              <w:rPr>
                <w:rFonts w:hint="eastAsia" w:ascii="宋体" w:hAnsi="宋体"/>
                <w:color w:val="auto"/>
                <w:szCs w:val="21"/>
                <w:highlight w:val="none"/>
              </w:rPr>
              <w:t>（4）为取得履约担保所需的费用，由中标人承担；若工期延误，履约担保时间延长，延长费用由中标人承担。</w:t>
            </w:r>
          </w:p>
          <w:p w14:paraId="68A8E524">
            <w:pPr>
              <w:snapToGrid/>
              <w:spacing w:line="360" w:lineRule="auto"/>
              <w:jc w:val="both"/>
              <w:rPr>
                <w:rFonts w:ascii="宋体" w:hAnsi="宋体"/>
                <w:color w:val="auto"/>
                <w:szCs w:val="21"/>
                <w:highlight w:val="none"/>
              </w:rPr>
            </w:pPr>
            <w:r>
              <w:rPr>
                <w:rFonts w:hint="eastAsia" w:ascii="宋体" w:hAnsi="宋体"/>
                <w:color w:val="auto"/>
                <w:szCs w:val="21"/>
                <w:highlight w:val="none"/>
              </w:rPr>
              <w:t>（5）若中标人在合同履行过程中出现项目质量事故、工期拖延、欠付工人工资、欠付材料款等情况，采购人在经核查属实后，有权将履约保函金额转为现金存入履约保证金账户；中标人造成采购人损失的，采购人有权立即没收其履约担保，若造成损失超过履约担保的，还应当对超过部分予以赔偿。</w:t>
            </w:r>
          </w:p>
          <w:p w14:paraId="2AB0D1B5">
            <w:pPr>
              <w:snapToGrid/>
              <w:spacing w:line="360" w:lineRule="auto"/>
              <w:jc w:val="both"/>
              <w:rPr>
                <w:rFonts w:ascii="宋体" w:hAnsi="宋体"/>
                <w:color w:val="auto"/>
                <w:szCs w:val="21"/>
                <w:highlight w:val="none"/>
              </w:rPr>
            </w:pPr>
            <w:r>
              <w:rPr>
                <w:rFonts w:hint="eastAsia" w:ascii="宋体" w:hAnsi="宋体"/>
                <w:color w:val="auto"/>
                <w:szCs w:val="21"/>
                <w:highlight w:val="none"/>
              </w:rPr>
              <w:t>（6）下列任何情况发生时，采购人有权行使享有的担保权利：</w:t>
            </w:r>
          </w:p>
          <w:p w14:paraId="5E5305E1">
            <w:pPr>
              <w:snapToGrid/>
              <w:spacing w:line="360" w:lineRule="auto"/>
              <w:jc w:val="both"/>
              <w:rPr>
                <w:rFonts w:ascii="宋体" w:hAnsi="宋体"/>
                <w:color w:val="auto"/>
                <w:szCs w:val="21"/>
                <w:highlight w:val="none"/>
              </w:rPr>
            </w:pPr>
            <w:r>
              <w:rPr>
                <w:rFonts w:hint="eastAsia" w:ascii="宋体" w:hAnsi="宋体"/>
                <w:color w:val="auto"/>
                <w:szCs w:val="21"/>
                <w:highlight w:val="none"/>
              </w:rPr>
              <w:t>①中标人将本项目转让给他人，或者在投标文件中未说明，且未经采购人同意，将中标项目分包给他人的；</w:t>
            </w:r>
          </w:p>
          <w:p w14:paraId="5ECBCD55">
            <w:pPr>
              <w:snapToGrid/>
              <w:spacing w:line="360" w:lineRule="auto"/>
              <w:jc w:val="both"/>
              <w:rPr>
                <w:rFonts w:ascii="宋体" w:hAnsi="宋体"/>
                <w:color w:val="auto"/>
                <w:szCs w:val="21"/>
                <w:highlight w:val="none"/>
              </w:rPr>
            </w:pPr>
            <w:r>
              <w:rPr>
                <w:rFonts w:hint="eastAsia" w:ascii="宋体" w:hAnsi="宋体"/>
                <w:color w:val="auto"/>
                <w:szCs w:val="21"/>
                <w:highlight w:val="none"/>
              </w:rPr>
              <w:t>②中标人在履行采购合同期间，违反有关法律法规的规定及合同约定的条款，损害了采购人的利益。</w:t>
            </w:r>
          </w:p>
          <w:p w14:paraId="33CCE07F">
            <w:pPr>
              <w:snapToGrid/>
              <w:spacing w:line="360" w:lineRule="auto"/>
              <w:jc w:val="both"/>
              <w:rPr>
                <w:rFonts w:ascii="宋体" w:hAnsi="宋体"/>
                <w:b/>
                <w:color w:val="auto"/>
                <w:szCs w:val="21"/>
                <w:highlight w:val="none"/>
              </w:rPr>
            </w:pPr>
            <w:r>
              <w:rPr>
                <w:rFonts w:hint="eastAsia" w:ascii="宋体" w:hAnsi="宋体"/>
                <w:color w:val="auto"/>
                <w:szCs w:val="21"/>
                <w:highlight w:val="none"/>
              </w:rPr>
              <w:t>（7）在整个项目验收合格后，中标人向采购人提交退回履约担保的申请，采购人办理履约担保退还手续。</w:t>
            </w:r>
          </w:p>
        </w:tc>
      </w:tr>
      <w:tr w14:paraId="12E87BC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223" w:hRule="atLeast"/>
          <w:jc w:val="center"/>
        </w:trPr>
        <w:tc>
          <w:tcPr>
            <w:tcW w:w="878" w:type="dxa"/>
            <w:vMerge w:val="restart"/>
            <w:tcBorders>
              <w:tl2br w:val="nil"/>
              <w:tr2bl w:val="nil"/>
            </w:tcBorders>
            <w:vAlign w:val="center"/>
          </w:tcPr>
          <w:p w14:paraId="16CE9755">
            <w:pPr>
              <w:snapToGrid/>
              <w:spacing w:line="240" w:lineRule="auto"/>
              <w:jc w:val="center"/>
              <w:rPr>
                <w:rFonts w:ascii="宋体" w:hAnsi="宋体"/>
                <w:color w:val="auto"/>
                <w:szCs w:val="21"/>
                <w:highlight w:val="none"/>
              </w:rPr>
            </w:pPr>
            <w:r>
              <w:rPr>
                <w:rFonts w:hint="eastAsia" w:ascii="宋体" w:hAnsi="宋体"/>
                <w:color w:val="auto"/>
                <w:szCs w:val="21"/>
                <w:highlight w:val="none"/>
              </w:rPr>
              <w:t>16</w:t>
            </w:r>
          </w:p>
        </w:tc>
        <w:tc>
          <w:tcPr>
            <w:tcW w:w="8654" w:type="dxa"/>
            <w:gridSpan w:val="2"/>
            <w:tcBorders>
              <w:tl2br w:val="nil"/>
              <w:tr2bl w:val="nil"/>
            </w:tcBorders>
            <w:vAlign w:val="center"/>
          </w:tcPr>
          <w:p w14:paraId="42D92B1E">
            <w:pPr>
              <w:snapToGrid/>
              <w:spacing w:line="240" w:lineRule="auto"/>
              <w:jc w:val="both"/>
              <w:rPr>
                <w:rFonts w:ascii="宋体" w:hAnsi="宋体"/>
                <w:b/>
                <w:color w:val="auto"/>
                <w:szCs w:val="21"/>
                <w:highlight w:val="none"/>
              </w:rPr>
            </w:pPr>
            <w:r>
              <w:rPr>
                <w:rFonts w:hint="eastAsia" w:ascii="宋体" w:hAnsi="宋体"/>
                <w:b/>
                <w:color w:val="auto"/>
                <w:szCs w:val="21"/>
                <w:highlight w:val="none"/>
              </w:rPr>
              <w:t>中标服务费</w:t>
            </w:r>
          </w:p>
        </w:tc>
      </w:tr>
      <w:tr w14:paraId="190CBF1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429" w:hRule="atLeast"/>
          <w:jc w:val="center"/>
        </w:trPr>
        <w:tc>
          <w:tcPr>
            <w:tcW w:w="878" w:type="dxa"/>
            <w:vMerge w:val="continue"/>
            <w:tcBorders>
              <w:tl2br w:val="nil"/>
              <w:tr2bl w:val="nil"/>
            </w:tcBorders>
            <w:vAlign w:val="center"/>
          </w:tcPr>
          <w:p w14:paraId="6585C05D">
            <w:pPr>
              <w:snapToGrid/>
              <w:spacing w:line="240" w:lineRule="auto"/>
              <w:jc w:val="center"/>
              <w:rPr>
                <w:rFonts w:ascii="宋体" w:hAnsi="宋体"/>
                <w:color w:val="auto"/>
                <w:szCs w:val="21"/>
                <w:highlight w:val="none"/>
              </w:rPr>
            </w:pPr>
          </w:p>
        </w:tc>
        <w:tc>
          <w:tcPr>
            <w:tcW w:w="8654" w:type="dxa"/>
            <w:gridSpan w:val="2"/>
            <w:tcBorders>
              <w:tl2br w:val="nil"/>
              <w:tr2bl w:val="nil"/>
            </w:tcBorders>
            <w:vAlign w:val="center"/>
          </w:tcPr>
          <w:p w14:paraId="10388698">
            <w:pPr>
              <w:widowControl w:val="0"/>
              <w:tabs>
                <w:tab w:val="left" w:pos="907"/>
              </w:tabs>
              <w:adjustRightInd/>
              <w:snapToGrid/>
              <w:spacing w:line="240" w:lineRule="auto"/>
              <w:jc w:val="both"/>
              <w:rPr>
                <w:rFonts w:ascii="宋体" w:hAnsi="宋体"/>
                <w:color w:val="auto"/>
                <w:szCs w:val="21"/>
                <w:highlight w:val="none"/>
              </w:rPr>
            </w:pPr>
            <w:r>
              <w:rPr>
                <w:rFonts w:hint="eastAsia" w:ascii="宋体" w:hAnsi="宋体"/>
                <w:color w:val="auto"/>
                <w:szCs w:val="21"/>
                <w:highlight w:val="none"/>
              </w:rPr>
              <w:t>本项目中标服务费由</w:t>
            </w:r>
            <w:r>
              <w:rPr>
                <w:rFonts w:hint="eastAsia" w:ascii="宋体" w:hAnsi="宋体"/>
                <w:color w:val="auto"/>
                <w:szCs w:val="21"/>
                <w:highlight w:val="none"/>
                <w:lang w:val="en-US" w:eastAsia="zh-CN"/>
              </w:rPr>
              <w:t>采购人</w:t>
            </w:r>
            <w:r>
              <w:rPr>
                <w:rFonts w:hint="eastAsia" w:ascii="宋体" w:hAnsi="宋体"/>
                <w:color w:val="auto"/>
                <w:szCs w:val="21"/>
                <w:highlight w:val="none"/>
              </w:rPr>
              <w:t>支付。</w:t>
            </w:r>
          </w:p>
        </w:tc>
      </w:tr>
      <w:tr w14:paraId="3B39D6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08" w:type="dxa"/>
            <w:left w:w="28" w:type="dxa"/>
            <w:bottom w:w="108" w:type="dxa"/>
            <w:right w:w="28" w:type="dxa"/>
          </w:tblCellMar>
        </w:tblPrEx>
        <w:trPr>
          <w:trHeight w:val="850" w:hRule="atLeast"/>
          <w:jc w:val="center"/>
        </w:trPr>
        <w:tc>
          <w:tcPr>
            <w:tcW w:w="9532" w:type="dxa"/>
            <w:gridSpan w:val="3"/>
            <w:tcBorders>
              <w:tl2br w:val="nil"/>
              <w:tr2bl w:val="nil"/>
            </w:tcBorders>
            <w:vAlign w:val="center"/>
          </w:tcPr>
          <w:p w14:paraId="1679A0EF">
            <w:pPr>
              <w:widowControl w:val="0"/>
              <w:tabs>
                <w:tab w:val="left" w:pos="907"/>
              </w:tabs>
              <w:adjustRightInd/>
              <w:snapToGrid/>
              <w:spacing w:line="240" w:lineRule="auto"/>
              <w:ind w:firstLine="420" w:firstLineChars="200"/>
              <w:jc w:val="both"/>
              <w:rPr>
                <w:rFonts w:ascii="宋体" w:hAnsi="宋体"/>
                <w:color w:val="auto"/>
                <w:szCs w:val="21"/>
                <w:highlight w:val="none"/>
              </w:rPr>
            </w:pPr>
            <w:r>
              <w:rPr>
                <w:rFonts w:hint="eastAsia" w:ascii="宋体" w:hAnsi="宋体"/>
                <w:color w:val="auto"/>
                <w:szCs w:val="21"/>
                <w:highlight w:val="none"/>
              </w:rPr>
              <w:t>注：本表关于要采购项目的具体资料，是对投标人须知的具体补充和修改，如有矛盾，应以本资料表为准。不满足采购文件中“★”条款的投标文件将作无效投标处理。</w:t>
            </w:r>
          </w:p>
        </w:tc>
      </w:tr>
    </w:tbl>
    <w:p w14:paraId="37200B4D">
      <w:pPr>
        <w:jc w:val="center"/>
        <w:rPr>
          <w:color w:val="auto"/>
          <w:highlight w:val="none"/>
        </w:rPr>
      </w:pPr>
      <w:r>
        <w:rPr>
          <w:rFonts w:hint="eastAsia"/>
          <w:color w:val="auto"/>
          <w:highlight w:val="none"/>
        </w:rPr>
        <w:br w:type="page"/>
      </w:r>
    </w:p>
    <w:p w14:paraId="7F7EF838">
      <w:pPr>
        <w:pStyle w:val="7"/>
        <w:spacing w:before="0" w:after="0" w:line="240" w:lineRule="auto"/>
        <w:jc w:val="center"/>
        <w:rPr>
          <w:rFonts w:hAnsi="宋体" w:cs="宋体"/>
          <w:color w:val="auto"/>
          <w:sz w:val="21"/>
          <w:szCs w:val="21"/>
          <w:highlight w:val="none"/>
        </w:rPr>
      </w:pPr>
      <w:bookmarkStart w:id="8" w:name="_Toc11574"/>
      <w:bookmarkStart w:id="9" w:name="_Toc1445"/>
      <w:r>
        <w:rPr>
          <w:rFonts w:hint="eastAsia" w:ascii="宋体" w:hAnsi="宋体" w:cs="宋体"/>
          <w:color w:val="auto"/>
          <w:sz w:val="24"/>
          <w:szCs w:val="24"/>
          <w:highlight w:val="none"/>
        </w:rPr>
        <w:t>附表二：商务技术评分及价格权重表（满分100分）</w:t>
      </w:r>
      <w:bookmarkEnd w:id="8"/>
      <w:bookmarkEnd w:id="9"/>
    </w:p>
    <w:tbl>
      <w:tblPr>
        <w:tblStyle w:val="32"/>
        <w:tblW w:w="9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left w:w="108" w:type="dxa"/>
          <w:bottom w:w="108" w:type="dxa"/>
          <w:right w:w="108" w:type="dxa"/>
        </w:tblCellMar>
      </w:tblPr>
      <w:tblGrid>
        <w:gridCol w:w="523"/>
        <w:gridCol w:w="1096"/>
        <w:gridCol w:w="766"/>
        <w:gridCol w:w="7343"/>
      </w:tblGrid>
      <w:tr w14:paraId="6DE0A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579"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14:paraId="1EE4785E">
            <w:pPr>
              <w:pStyle w:val="48"/>
              <w:keepNext w:val="0"/>
              <w:keepLines w:val="0"/>
              <w:pageBreakBefore w:val="0"/>
              <w:kinsoku/>
              <w:wordWrap/>
              <w:overflowPunct/>
              <w:topLinePunct w:val="0"/>
              <w:autoSpaceDE/>
              <w:autoSpaceDN/>
              <w:bidi w:val="0"/>
              <w:adjustRightInd w:val="0"/>
              <w:snapToGrid/>
              <w:spacing w:line="240" w:lineRule="auto"/>
              <w:ind w:firstLine="0" w:firstLine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096" w:type="dxa"/>
            <w:tcBorders>
              <w:top w:val="single" w:color="auto" w:sz="4" w:space="0"/>
              <w:left w:val="single" w:color="auto" w:sz="4" w:space="0"/>
              <w:bottom w:val="single" w:color="auto" w:sz="4" w:space="0"/>
              <w:right w:val="single" w:color="auto" w:sz="4" w:space="0"/>
            </w:tcBorders>
            <w:vAlign w:val="center"/>
          </w:tcPr>
          <w:p w14:paraId="39930D82">
            <w:pPr>
              <w:pStyle w:val="48"/>
              <w:keepNext w:val="0"/>
              <w:keepLines w:val="0"/>
              <w:pageBreakBefore w:val="0"/>
              <w:kinsoku/>
              <w:wordWrap/>
              <w:overflowPunct/>
              <w:topLinePunct w:val="0"/>
              <w:autoSpaceDE/>
              <w:autoSpaceDN/>
              <w:bidi w:val="0"/>
              <w:adjustRightInd w:val="0"/>
              <w:snapToGrid/>
              <w:spacing w:line="240" w:lineRule="auto"/>
              <w:ind w:firstLine="0" w:firstLine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评审项目</w:t>
            </w:r>
          </w:p>
        </w:tc>
        <w:tc>
          <w:tcPr>
            <w:tcW w:w="766" w:type="dxa"/>
            <w:tcBorders>
              <w:top w:val="single" w:color="auto" w:sz="4" w:space="0"/>
              <w:left w:val="single" w:color="auto" w:sz="4" w:space="0"/>
              <w:bottom w:val="single" w:color="auto" w:sz="4" w:space="0"/>
              <w:right w:val="single" w:color="auto" w:sz="4" w:space="0"/>
            </w:tcBorders>
            <w:vAlign w:val="center"/>
          </w:tcPr>
          <w:p w14:paraId="51092E27">
            <w:pPr>
              <w:pStyle w:val="48"/>
              <w:keepNext w:val="0"/>
              <w:keepLines w:val="0"/>
              <w:pageBreakBefore w:val="0"/>
              <w:kinsoku/>
              <w:wordWrap/>
              <w:overflowPunct/>
              <w:topLinePunct w:val="0"/>
              <w:autoSpaceDE/>
              <w:autoSpaceDN/>
              <w:bidi w:val="0"/>
              <w:adjustRightInd w:val="0"/>
              <w:snapToGrid/>
              <w:spacing w:line="240" w:lineRule="auto"/>
              <w:ind w:firstLine="0" w:firstLine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分值</w:t>
            </w:r>
          </w:p>
        </w:tc>
        <w:tc>
          <w:tcPr>
            <w:tcW w:w="7343" w:type="dxa"/>
            <w:tcBorders>
              <w:top w:val="single" w:color="auto" w:sz="4" w:space="0"/>
              <w:left w:val="single" w:color="auto" w:sz="4" w:space="0"/>
              <w:bottom w:val="single" w:color="auto" w:sz="4" w:space="0"/>
              <w:right w:val="single" w:color="auto" w:sz="4" w:space="0"/>
            </w:tcBorders>
            <w:vAlign w:val="center"/>
          </w:tcPr>
          <w:p w14:paraId="67B6385C">
            <w:pPr>
              <w:pStyle w:val="48"/>
              <w:keepNext w:val="0"/>
              <w:keepLines w:val="0"/>
              <w:pageBreakBefore w:val="0"/>
              <w:kinsoku/>
              <w:wordWrap/>
              <w:overflowPunct/>
              <w:topLinePunct w:val="0"/>
              <w:autoSpaceDE/>
              <w:autoSpaceDN/>
              <w:bidi w:val="0"/>
              <w:adjustRightInd w:val="0"/>
              <w:snapToGrid/>
              <w:spacing w:line="240" w:lineRule="auto"/>
              <w:ind w:firstLine="0" w:firstLine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评审细则</w:t>
            </w:r>
          </w:p>
        </w:tc>
      </w:tr>
      <w:tr w14:paraId="2748C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483" w:hRule="atLeast"/>
          <w:jc w:val="center"/>
        </w:trPr>
        <w:tc>
          <w:tcPr>
            <w:tcW w:w="9728" w:type="dxa"/>
            <w:gridSpan w:val="4"/>
            <w:tcBorders>
              <w:top w:val="single" w:color="auto" w:sz="4" w:space="0"/>
              <w:left w:val="single" w:color="auto" w:sz="4" w:space="0"/>
              <w:bottom w:val="single" w:color="auto" w:sz="4" w:space="0"/>
              <w:right w:val="single" w:color="auto" w:sz="4" w:space="0"/>
            </w:tcBorders>
            <w:vAlign w:val="center"/>
          </w:tcPr>
          <w:p w14:paraId="67523005">
            <w:pPr>
              <w:pStyle w:val="48"/>
              <w:keepNext w:val="0"/>
              <w:keepLines w:val="0"/>
              <w:pageBreakBefore w:val="0"/>
              <w:kinsoku/>
              <w:wordWrap/>
              <w:overflowPunct/>
              <w:topLinePunct w:val="0"/>
              <w:autoSpaceDE/>
              <w:autoSpaceDN/>
              <w:bidi w:val="0"/>
              <w:adjustRightInd w:val="0"/>
              <w:snapToGrid/>
              <w:spacing w:line="240" w:lineRule="auto"/>
              <w:ind w:firstLine="0" w:firstLine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商务评审（</w:t>
            </w:r>
            <w:r>
              <w:rPr>
                <w:rFonts w:hint="eastAsia" w:ascii="宋体" w:eastAsia="宋体" w:cs="宋体"/>
                <w:b/>
                <w:bCs/>
                <w:color w:val="auto"/>
                <w:sz w:val="21"/>
                <w:szCs w:val="21"/>
                <w:highlight w:val="none"/>
                <w:lang w:val="en-US" w:eastAsia="zh-CN"/>
              </w:rPr>
              <w:t>35</w:t>
            </w:r>
            <w:r>
              <w:rPr>
                <w:rFonts w:hint="eastAsia" w:ascii="宋体" w:hAnsi="宋体" w:eastAsia="宋体" w:cs="宋体"/>
                <w:b/>
                <w:bCs/>
                <w:color w:val="auto"/>
                <w:sz w:val="21"/>
                <w:szCs w:val="21"/>
                <w:highlight w:val="none"/>
              </w:rPr>
              <w:t>分）</w:t>
            </w:r>
          </w:p>
        </w:tc>
      </w:tr>
      <w:tr w14:paraId="52FA8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567" w:hRule="atLeast"/>
          <w:jc w:val="center"/>
        </w:trPr>
        <w:tc>
          <w:tcPr>
            <w:tcW w:w="523" w:type="dxa"/>
            <w:tcBorders>
              <w:top w:val="single" w:color="auto" w:sz="4" w:space="0"/>
              <w:left w:val="single" w:color="auto" w:sz="4" w:space="0"/>
              <w:right w:val="single" w:color="auto" w:sz="4" w:space="0"/>
            </w:tcBorders>
            <w:vAlign w:val="center"/>
          </w:tcPr>
          <w:p w14:paraId="05DD1674">
            <w:pPr>
              <w:pStyle w:val="48"/>
              <w:keepNext w:val="0"/>
              <w:keepLines w:val="0"/>
              <w:pageBreakBefore w:val="0"/>
              <w:kinsoku/>
              <w:wordWrap/>
              <w:overflowPunct/>
              <w:topLinePunct w:val="0"/>
              <w:autoSpaceDE/>
              <w:autoSpaceDN/>
              <w:bidi w:val="0"/>
              <w:adjustRightInd w:val="0"/>
              <w:snapToGrid/>
              <w:spacing w:line="240" w:lineRule="auto"/>
              <w:ind w:firstLine="0" w:firstLineChars="0"/>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1096" w:type="dxa"/>
            <w:tcBorders>
              <w:top w:val="single" w:color="auto" w:sz="4" w:space="0"/>
              <w:left w:val="single" w:color="auto" w:sz="4" w:space="0"/>
              <w:right w:val="single" w:color="auto" w:sz="4" w:space="0"/>
            </w:tcBorders>
            <w:vAlign w:val="center"/>
          </w:tcPr>
          <w:p w14:paraId="3866AE80">
            <w:pPr>
              <w:snapToGrid/>
              <w:spacing w:line="240" w:lineRule="auto"/>
              <w:jc w:val="center"/>
              <w:rPr>
                <w:rFonts w:hint="eastAsia" w:asciiTheme="minorEastAsia" w:hAnsiTheme="minorEastAsia" w:eastAsiaTheme="minorEastAsia" w:cstheme="minorEastAsia"/>
                <w:color w:val="auto"/>
                <w:sz w:val="21"/>
                <w:szCs w:val="21"/>
                <w:highlight w:val="none"/>
                <w:u w:val="none"/>
              </w:rPr>
            </w:pPr>
            <w:r>
              <w:rPr>
                <w:rFonts w:hint="eastAsia" w:asciiTheme="minorEastAsia" w:hAnsiTheme="minorEastAsia" w:eastAsiaTheme="minorEastAsia" w:cstheme="minorEastAsia"/>
                <w:color w:val="auto"/>
                <w:sz w:val="21"/>
                <w:szCs w:val="21"/>
                <w:highlight w:val="none"/>
              </w:rPr>
              <w:t>企业业绩</w:t>
            </w:r>
          </w:p>
        </w:tc>
        <w:tc>
          <w:tcPr>
            <w:tcW w:w="766" w:type="dxa"/>
            <w:tcBorders>
              <w:top w:val="single" w:color="auto" w:sz="4" w:space="0"/>
              <w:left w:val="single" w:color="auto" w:sz="4" w:space="0"/>
              <w:bottom w:val="single" w:color="auto" w:sz="4" w:space="0"/>
              <w:right w:val="single" w:color="auto" w:sz="4" w:space="0"/>
            </w:tcBorders>
            <w:vAlign w:val="center"/>
          </w:tcPr>
          <w:p w14:paraId="18880774">
            <w:pPr>
              <w:snapToGrid/>
              <w:spacing w:line="240" w:lineRule="auto"/>
              <w:jc w:val="center"/>
              <w:rPr>
                <w:rFonts w:hint="eastAsia" w:asciiTheme="minorEastAsia" w:hAnsiTheme="minorEastAsia" w:eastAsiaTheme="minorEastAsia" w:cstheme="minorEastAsia"/>
                <w:color w:val="auto"/>
                <w:sz w:val="21"/>
                <w:szCs w:val="21"/>
                <w:highlight w:val="none"/>
                <w:u w:val="none"/>
                <w:lang w:val="en-US" w:eastAsia="zh-CN"/>
              </w:rPr>
            </w:pPr>
            <w:r>
              <w:rPr>
                <w:rFonts w:hint="eastAsia" w:asciiTheme="minorEastAsia" w:hAnsiTheme="minorEastAsia" w:eastAsiaTheme="minorEastAsia" w:cstheme="minorEastAsia"/>
                <w:color w:val="auto"/>
                <w:sz w:val="21"/>
                <w:szCs w:val="21"/>
                <w:highlight w:val="none"/>
                <w:lang w:val="en-US" w:eastAsia="zh-CN"/>
              </w:rPr>
              <w:t>23</w:t>
            </w:r>
            <w:r>
              <w:rPr>
                <w:rFonts w:hint="eastAsia" w:asciiTheme="minorEastAsia" w:hAnsiTheme="minorEastAsia" w:eastAsiaTheme="minorEastAsia" w:cstheme="minorEastAsia"/>
                <w:color w:val="auto"/>
                <w:sz w:val="21"/>
                <w:szCs w:val="21"/>
                <w:highlight w:val="none"/>
              </w:rPr>
              <w:t>分</w:t>
            </w:r>
          </w:p>
        </w:tc>
        <w:tc>
          <w:tcPr>
            <w:tcW w:w="7343" w:type="dxa"/>
            <w:tcBorders>
              <w:top w:val="single" w:color="auto" w:sz="4" w:space="0"/>
              <w:left w:val="single" w:color="auto" w:sz="4" w:space="0"/>
              <w:bottom w:val="single" w:color="auto" w:sz="4" w:space="0"/>
              <w:right w:val="single" w:color="auto" w:sz="4" w:space="0"/>
            </w:tcBorders>
            <w:vAlign w:val="center"/>
          </w:tcPr>
          <w:p w14:paraId="328145B0">
            <w:pPr>
              <w:pStyle w:val="16"/>
              <w:keepNext w:val="0"/>
              <w:keepLines w:val="0"/>
              <w:pageBreakBefore w:val="0"/>
              <w:kinsoku/>
              <w:wordWrap/>
              <w:overflowPunct/>
              <w:topLinePunct w:val="0"/>
              <w:autoSpaceDE/>
              <w:autoSpaceDN/>
              <w:bidi w:val="0"/>
              <w:snapToGrid/>
              <w:spacing w:line="300" w:lineRule="auto"/>
              <w:textAlignment w:val="auto"/>
              <w:rPr>
                <w:rFonts w:hint="eastAsia" w:asciiTheme="minorEastAsia" w:hAnsiTheme="minorEastAsia" w:eastAsiaTheme="minorEastAsia" w:cstheme="minorEastAsia"/>
                <w:b w:val="0"/>
                <w:bCs w:val="0"/>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szCs w:val="21"/>
                <w:highlight w:val="none"/>
                <w14:textFill>
                  <w14:solidFill>
                    <w14:schemeClr w14:val="tx1"/>
                  </w14:solidFill>
                </w14:textFill>
              </w:rPr>
              <w:t>投标人自202</w:t>
            </w:r>
            <w:r>
              <w:rPr>
                <w:rFonts w:hint="eastAsia" w:asciiTheme="minorEastAsia" w:hAnsiTheme="minorEastAsia" w:eastAsiaTheme="minorEastAsia" w:cstheme="minorEastAsia"/>
                <w:b w:val="0"/>
                <w:bCs w:val="0"/>
                <w:color w:val="000000" w:themeColor="text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b w:val="0"/>
                <w:bCs w:val="0"/>
                <w:color w:val="000000" w:themeColor="text1"/>
                <w:szCs w:val="21"/>
                <w:highlight w:val="none"/>
                <w14:textFill>
                  <w14:solidFill>
                    <w14:schemeClr w14:val="tx1"/>
                  </w14:solidFill>
                </w14:textFill>
              </w:rPr>
              <w:t>年</w:t>
            </w:r>
            <w:r>
              <w:rPr>
                <w:rFonts w:hint="eastAsia" w:asciiTheme="minorEastAsia" w:hAnsiTheme="minorEastAsia" w:eastAsiaTheme="minorEastAsia" w:cstheme="minorEastAsia"/>
                <w:b w:val="0"/>
                <w:bCs w:val="0"/>
                <w:color w:val="000000" w:themeColor="text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b w:val="0"/>
                <w:bCs w:val="0"/>
                <w:color w:val="000000" w:themeColor="text1"/>
                <w:szCs w:val="21"/>
                <w:highlight w:val="none"/>
                <w14:textFill>
                  <w14:solidFill>
                    <w14:schemeClr w14:val="tx1"/>
                  </w14:solidFill>
                </w14:textFill>
              </w:rPr>
              <w:t>月1日（以合同签订时间为准）以来至本项目投标截止时间，</w:t>
            </w:r>
            <w:r>
              <w:rPr>
                <w:rFonts w:hint="eastAsia" w:asciiTheme="minorEastAsia" w:hAnsiTheme="minorEastAsia" w:eastAsiaTheme="minorEastAsia" w:cstheme="minorEastAsia"/>
                <w:b w:val="0"/>
                <w:bCs w:val="0"/>
                <w:color w:val="000000" w:themeColor="text1"/>
                <w:szCs w:val="21"/>
                <w:highlight w:val="none"/>
                <w:lang w:eastAsia="zh-CN"/>
                <w14:textFill>
                  <w14:solidFill>
                    <w14:schemeClr w14:val="tx1"/>
                  </w14:solidFill>
                </w14:textFill>
              </w:rPr>
              <w:t>对具有</w:t>
            </w:r>
            <w:r>
              <w:rPr>
                <w:rFonts w:hint="eastAsia" w:asciiTheme="minorEastAsia" w:hAnsiTheme="minorEastAsia" w:eastAsiaTheme="minorEastAsia" w:cstheme="minorEastAsia"/>
                <w:b w:val="0"/>
                <w:bCs w:val="0"/>
                <w:color w:val="000000" w:themeColor="text1"/>
                <w:szCs w:val="21"/>
                <w:highlight w:val="none"/>
                <w14:textFill>
                  <w14:solidFill>
                    <w14:schemeClr w14:val="tx1"/>
                  </w14:solidFill>
                </w14:textFill>
              </w:rPr>
              <w:t>餐厨</w:t>
            </w:r>
            <w:r>
              <w:rPr>
                <w:rFonts w:hint="eastAsia" w:asciiTheme="minorEastAsia" w:hAnsiTheme="minorEastAsia" w:eastAsiaTheme="minorEastAsia" w:cstheme="minorEastAsia"/>
                <w:b w:val="0"/>
                <w:bCs w:val="0"/>
                <w:color w:val="000000" w:themeColor="text1"/>
                <w:szCs w:val="21"/>
                <w:highlight w:val="none"/>
                <w:lang w:val="en-US" w:eastAsia="zh-CN"/>
                <w14:textFill>
                  <w14:solidFill>
                    <w14:schemeClr w14:val="tx1"/>
                  </w14:solidFill>
                </w14:textFill>
              </w:rPr>
              <w:t>垃圾</w:t>
            </w:r>
            <w:r>
              <w:rPr>
                <w:rFonts w:hint="eastAsia" w:asciiTheme="minorEastAsia" w:hAnsiTheme="minorEastAsia" w:eastAsiaTheme="minorEastAsia" w:cstheme="minorEastAsia"/>
                <w:b w:val="0"/>
                <w:bCs w:val="0"/>
                <w:color w:val="000000" w:themeColor="text1"/>
                <w:szCs w:val="21"/>
                <w:highlight w:val="none"/>
                <w14:textFill>
                  <w14:solidFill>
                    <w14:schemeClr w14:val="tx1"/>
                  </w14:solidFill>
                </w14:textFill>
              </w:rPr>
              <w:t>处置项目的环境影响评价技术服务业绩进行评价：</w:t>
            </w:r>
          </w:p>
          <w:p w14:paraId="1C1E3F4A">
            <w:pPr>
              <w:pStyle w:val="28"/>
              <w:keepNext w:val="0"/>
              <w:keepLines w:val="0"/>
              <w:pageBreakBefore w:val="0"/>
              <w:kinsoku/>
              <w:wordWrap/>
              <w:overflowPunct/>
              <w:topLinePunct w:val="0"/>
              <w:autoSpaceDE/>
              <w:autoSpaceDN/>
              <w:bidi w:val="0"/>
              <w:snapToGrid/>
              <w:spacing w:line="300" w:lineRule="auto"/>
              <w:textAlignment w:val="auto"/>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highlight w:val="none"/>
                <w:lang w:eastAsia="zh-CN"/>
                <w14:textFill>
                  <w14:solidFill>
                    <w14:schemeClr w14:val="tx1"/>
                  </w14:solidFill>
                </w14:textFill>
              </w:rPr>
              <w:t>1、</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投标人</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独立完成餐厨垃圾处置项目</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环境影响评价</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报告书</w:t>
            </w:r>
            <w:r>
              <w:rPr>
                <w:rFonts w:hint="eastAsia" w:asciiTheme="minorEastAsia" w:hAnsiTheme="minorEastAsia" w:eastAsiaTheme="minorEastAsia" w:cstheme="minorEastAsia"/>
                <w:b w:val="0"/>
                <w:bCs w:val="0"/>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表</w:t>
            </w:r>
            <w:r>
              <w:rPr>
                <w:rFonts w:hint="eastAsia" w:asciiTheme="minorEastAsia" w:hAnsiTheme="minorEastAsia" w:eastAsiaTheme="minorEastAsia" w:cstheme="minorEastAsia"/>
                <w:b w:val="0"/>
                <w:bCs w:val="0"/>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编制并取得生态环境部门批复</w:t>
            </w:r>
            <w:r>
              <w:rPr>
                <w:rFonts w:hint="eastAsia" w:asciiTheme="minorEastAsia" w:hAnsiTheme="minorEastAsia" w:eastAsiaTheme="minorEastAsia" w:cstheme="minorEastAsia"/>
                <w:b w:val="0"/>
                <w:bCs w:val="0"/>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每提供1项餐厨</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垃圾</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处置项目环境影响评价技术服务业绩业绩得</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分，本项最高得</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15</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分。</w:t>
            </w:r>
          </w:p>
          <w:p w14:paraId="35B45733">
            <w:pPr>
              <w:pStyle w:val="28"/>
              <w:keepNext w:val="0"/>
              <w:keepLines w:val="0"/>
              <w:pageBreakBefore w:val="0"/>
              <w:kinsoku/>
              <w:wordWrap/>
              <w:overflowPunct/>
              <w:topLinePunct w:val="0"/>
              <w:autoSpaceDE/>
              <w:autoSpaceDN/>
              <w:bidi w:val="0"/>
              <w:snapToGrid/>
              <w:spacing w:line="300" w:lineRule="auto"/>
              <w:textAlignment w:val="auto"/>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在上述有效业绩中，</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投标人</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独立完成日处理餐厨垃圾≥100吨/天的餐厨垃圾处置项目</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环境影响评价</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报告书编制并取得生态环境部门批复</w:t>
            </w:r>
            <w:r>
              <w:rPr>
                <w:rFonts w:hint="eastAsia" w:asciiTheme="minorEastAsia" w:hAnsiTheme="minorEastAsia" w:eastAsiaTheme="minorEastAsia" w:cstheme="minorEastAsia"/>
                <w:b w:val="0"/>
                <w:bCs w:val="0"/>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每提供一个加</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分，本项最高加</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分。</w:t>
            </w:r>
          </w:p>
          <w:p w14:paraId="46C5FAF6">
            <w:pPr>
              <w:pStyle w:val="28"/>
              <w:keepNext w:val="0"/>
              <w:keepLines w:val="0"/>
              <w:pageBreakBefore w:val="0"/>
              <w:kinsoku/>
              <w:wordWrap/>
              <w:overflowPunct/>
              <w:topLinePunct w:val="0"/>
              <w:autoSpaceDE/>
              <w:autoSpaceDN/>
              <w:bidi w:val="0"/>
              <w:snapToGrid/>
              <w:spacing w:line="300" w:lineRule="auto"/>
              <w:textAlignment w:val="auto"/>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在上述有效业绩中，</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投标人提供业绩涵盖碳源处置去向</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b w:val="0"/>
                <w:bCs w:val="0"/>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每提供一个加</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分，本项最高加</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分。</w:t>
            </w:r>
          </w:p>
          <w:p w14:paraId="537112B0">
            <w:pPr>
              <w:pStyle w:val="28"/>
              <w:keepNext w:val="0"/>
              <w:keepLines w:val="0"/>
              <w:pageBreakBefore w:val="0"/>
              <w:kinsoku/>
              <w:wordWrap/>
              <w:overflowPunct/>
              <w:topLinePunct w:val="0"/>
              <w:autoSpaceDE/>
              <w:autoSpaceDN/>
              <w:bidi w:val="0"/>
              <w:snapToGrid/>
              <w:spacing w:line="300" w:lineRule="auto"/>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（投标人</w:t>
            </w: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提供业绩同时满足第2、3点要求的，按其中一项进行加分（不重复加分），由投标人自行放入对应的评分子项。为</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满足投标资格条件所提供的业绩不计入本项分数）</w:t>
            </w:r>
          </w:p>
          <w:p w14:paraId="41C4967C">
            <w:pPr>
              <w:keepNext w:val="0"/>
              <w:keepLines w:val="0"/>
              <w:pageBreakBefore w:val="0"/>
              <w:widowControl/>
              <w:kinsoku/>
              <w:wordWrap/>
              <w:overflowPunct/>
              <w:topLinePunct w:val="0"/>
              <w:autoSpaceDE/>
              <w:autoSpaceDN/>
              <w:bidi w:val="0"/>
              <w:adjustRightInd w:val="0"/>
              <w:snapToGrid/>
              <w:spacing w:line="300" w:lineRule="auto"/>
              <w:ind w:firstLine="0" w:firstLineChars="0"/>
              <w:textAlignment w:val="auto"/>
              <w:rPr>
                <w:rFonts w:hint="eastAsia" w:asciiTheme="minorEastAsia" w:hAnsiTheme="minorEastAsia" w:eastAsiaTheme="minorEastAsia" w:cstheme="minorEastAsia"/>
                <w:b w:val="0"/>
                <w:bCs/>
                <w:color w:val="auto"/>
                <w:sz w:val="21"/>
                <w:szCs w:val="21"/>
                <w:highlight w:val="none"/>
                <w:u w:val="none"/>
                <w:lang w:val="zh-CN"/>
              </w:rPr>
            </w:pP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注</w:t>
            </w:r>
            <w:r>
              <w:rPr>
                <w:rFonts w:hint="eastAsia" w:asciiTheme="minorEastAsia" w:hAnsiTheme="minorEastAsia" w:eastAsiaTheme="minorEastAsia" w:cstheme="minorEastAsia"/>
                <w:b/>
                <w:bCs/>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投标人</w:t>
            </w:r>
            <w:r>
              <w:rPr>
                <w:rFonts w:hint="eastAsia" w:asciiTheme="minorEastAsia" w:hAnsiTheme="minorEastAsia" w:eastAsiaTheme="minorEastAsia" w:cstheme="minorEastAsia"/>
                <w:b/>
                <w:bCs/>
                <w:color w:val="000000" w:themeColor="text1"/>
                <w:szCs w:val="21"/>
                <w:highlight w:val="none"/>
                <w:lang w:val="en-US" w:eastAsia="zh-CN"/>
                <w14:textFill>
                  <w14:solidFill>
                    <w14:schemeClr w14:val="tx1"/>
                  </w14:solidFill>
                </w14:textFill>
              </w:rPr>
              <w:t>须同时提供①</w:t>
            </w:r>
            <w:r>
              <w:rPr>
                <w:rFonts w:hint="eastAsia" w:asciiTheme="minorEastAsia" w:hAnsiTheme="minorEastAsia" w:eastAsiaTheme="minorEastAsia" w:cstheme="minorEastAsia"/>
                <w:b/>
                <w:bCs/>
                <w:color w:val="000000" w:themeColor="text1"/>
                <w:szCs w:val="21"/>
                <w:highlight w:val="none"/>
                <w:lang w:eastAsia="zh-CN"/>
                <w14:textFill>
                  <w14:solidFill>
                    <w14:schemeClr w14:val="tx1"/>
                  </w14:solidFill>
                </w14:textFill>
              </w:rPr>
              <w:t>合同</w:t>
            </w:r>
            <w:r>
              <w:rPr>
                <w:rFonts w:hint="eastAsia" w:asciiTheme="minorEastAsia" w:hAnsiTheme="minorEastAsia" w:eastAsiaTheme="minorEastAsia" w:cstheme="minorEastAsia"/>
                <w:b/>
                <w:bCs/>
                <w:color w:val="000000" w:themeColor="text1"/>
                <w:szCs w:val="21"/>
                <w:highlight w:val="none"/>
                <w:lang w:val="en-US" w:eastAsia="zh-CN"/>
                <w14:textFill>
                  <w14:solidFill>
                    <w14:schemeClr w14:val="tx1"/>
                  </w14:solidFill>
                </w14:textFill>
              </w:rPr>
              <w:t>关键页（包含签订日期、服务内容、盖章页等）</w:t>
            </w:r>
            <w:r>
              <w:rPr>
                <w:rFonts w:hint="eastAsia" w:asciiTheme="minorEastAsia" w:hAnsiTheme="minorEastAsia" w:eastAsiaTheme="minorEastAsia" w:cstheme="minorEastAsia"/>
                <w:b/>
                <w:bCs/>
                <w:color w:val="000000" w:themeColor="text1"/>
                <w:szCs w:val="21"/>
                <w:highlight w:val="none"/>
                <w:lang w:eastAsia="zh-CN"/>
                <w14:textFill>
                  <w14:solidFill>
                    <w14:schemeClr w14:val="tx1"/>
                  </w14:solidFill>
                </w14:textFill>
              </w:rPr>
              <w:t>复印件；</w:t>
            </w:r>
            <w:r>
              <w:rPr>
                <w:rFonts w:hint="eastAsia" w:asciiTheme="minorEastAsia" w:hAnsiTheme="minorEastAsia" w:eastAsiaTheme="minorEastAsia" w:cstheme="minorEastAsia"/>
                <w:b/>
                <w:bCs/>
                <w:color w:val="000000" w:themeColor="text1"/>
                <w:szCs w:val="21"/>
                <w:highlight w:val="none"/>
                <w:lang w:val="en-US" w:eastAsia="zh-CN"/>
                <w14:textFill>
                  <w14:solidFill>
                    <w14:schemeClr w14:val="tx1"/>
                  </w14:solidFill>
                </w14:textFill>
              </w:rPr>
              <w:t>②项目</w:t>
            </w:r>
            <w:r>
              <w:rPr>
                <w:rFonts w:hint="eastAsia" w:asciiTheme="minorEastAsia" w:hAnsiTheme="minorEastAsia" w:eastAsiaTheme="minorEastAsia" w:cstheme="minorEastAsia"/>
                <w:b/>
                <w:bCs/>
                <w:color w:val="000000" w:themeColor="text1"/>
                <w:szCs w:val="21"/>
                <w:highlight w:val="none"/>
                <w:lang w:eastAsia="zh-CN"/>
                <w14:textFill>
                  <w14:solidFill>
                    <w14:schemeClr w14:val="tx1"/>
                  </w14:solidFill>
                </w14:textFill>
              </w:rPr>
              <w:t>环评批复文件（202</w:t>
            </w:r>
            <w:r>
              <w:rPr>
                <w:rFonts w:hint="eastAsia" w:asciiTheme="minorEastAsia" w:hAnsiTheme="minorEastAsia" w:eastAsiaTheme="minorEastAsia" w:cstheme="minorEastAsia"/>
                <w:b/>
                <w:bCs/>
                <w:color w:val="000000" w:themeColor="text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b/>
                <w:bCs/>
                <w:color w:val="000000" w:themeColor="text1"/>
                <w:szCs w:val="21"/>
                <w:highlight w:val="none"/>
                <w:lang w:eastAsia="zh-CN"/>
                <w14:textFill>
                  <w14:solidFill>
                    <w14:schemeClr w14:val="tx1"/>
                  </w14:solidFill>
                </w14:textFill>
              </w:rPr>
              <w:t>年</w:t>
            </w:r>
            <w:r>
              <w:rPr>
                <w:rFonts w:hint="eastAsia" w:asciiTheme="minorEastAsia" w:hAnsiTheme="minorEastAsia" w:eastAsiaTheme="minorEastAsia" w:cstheme="minorEastAsia"/>
                <w:b/>
                <w:bCs/>
                <w:color w:val="000000" w:themeColor="text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b/>
                <w:bCs/>
                <w:color w:val="000000" w:themeColor="text1"/>
                <w:szCs w:val="21"/>
                <w:highlight w:val="none"/>
                <w:lang w:eastAsia="zh-CN"/>
                <w14:textFill>
                  <w14:solidFill>
                    <w14:schemeClr w14:val="tx1"/>
                  </w14:solidFill>
                </w14:textFill>
              </w:rPr>
              <w:t>月1日</w:t>
            </w:r>
            <w:r>
              <w:rPr>
                <w:rFonts w:hint="eastAsia" w:asciiTheme="minorEastAsia" w:hAnsiTheme="minorEastAsia" w:eastAsiaTheme="minorEastAsia" w:cstheme="minorEastAsia"/>
                <w:b/>
                <w:bCs/>
                <w:color w:val="000000" w:themeColor="text1"/>
                <w:szCs w:val="21"/>
                <w:highlight w:val="none"/>
                <w:lang w:val="en-US" w:eastAsia="zh-CN"/>
                <w14:textFill>
                  <w14:solidFill>
                    <w14:schemeClr w14:val="tx1"/>
                  </w14:solidFill>
                </w14:textFill>
              </w:rPr>
              <w:t>以后且批复需明确编制单位，未明确编制单位的，补充送审报告中编制单位和编制人员情况表。</w:t>
            </w:r>
            <w:r>
              <w:rPr>
                <w:rFonts w:hint="eastAsia" w:asciiTheme="minorEastAsia" w:hAnsiTheme="minorEastAsia" w:eastAsiaTheme="minorEastAsia" w:cstheme="minorEastAsia"/>
                <w:b/>
                <w:bCs/>
                <w:color w:val="000000" w:themeColor="text1"/>
                <w:szCs w:val="21"/>
                <w:highlight w:val="none"/>
                <w:lang w:eastAsia="zh-CN"/>
                <w14:textFill>
                  <w14:solidFill>
                    <w14:schemeClr w14:val="tx1"/>
                  </w14:solidFill>
                </w14:textFill>
              </w:rPr>
              <w:t>）并加盖投标人公章】。</w:t>
            </w:r>
            <w:r>
              <w:rPr>
                <w:rFonts w:hint="eastAsia" w:ascii="宋体" w:hAnsi="宋体" w:eastAsia="宋体" w:cs="宋体"/>
                <w:b/>
                <w:bCs/>
                <w:color w:val="auto"/>
                <w:sz w:val="21"/>
                <w:szCs w:val="21"/>
                <w:highlight w:val="none"/>
                <w:lang w:val="en-US" w:eastAsia="zh-CN"/>
              </w:rPr>
              <w:t>未按要求提供</w:t>
            </w:r>
            <w:r>
              <w:rPr>
                <w:rFonts w:hint="eastAsia" w:ascii="宋体" w:hAnsi="宋体" w:eastAsia="宋体" w:cs="宋体"/>
                <w:b/>
                <w:bCs/>
                <w:color w:val="auto"/>
                <w:sz w:val="21"/>
                <w:szCs w:val="21"/>
                <w:highlight w:val="none"/>
                <w:lang w:eastAsia="zh-CN"/>
              </w:rPr>
              <w:t>或提供的</w:t>
            </w:r>
            <w:r>
              <w:rPr>
                <w:rFonts w:hint="eastAsia" w:ascii="宋体" w:hAnsi="宋体" w:eastAsia="宋体" w:cs="宋体"/>
                <w:b/>
                <w:bCs/>
                <w:color w:val="auto"/>
                <w:sz w:val="21"/>
                <w:szCs w:val="21"/>
                <w:highlight w:val="none"/>
                <w:lang w:val="en-US" w:eastAsia="zh-CN"/>
              </w:rPr>
              <w:t>证明材料</w:t>
            </w:r>
            <w:r>
              <w:rPr>
                <w:rFonts w:hint="eastAsia" w:ascii="宋体" w:hAnsi="宋体" w:eastAsia="宋体" w:cs="宋体"/>
                <w:b/>
                <w:bCs/>
                <w:color w:val="auto"/>
                <w:sz w:val="21"/>
                <w:szCs w:val="21"/>
                <w:highlight w:val="none"/>
                <w:lang w:eastAsia="zh-CN"/>
              </w:rPr>
              <w:t>不清晰导致专家无法判断</w:t>
            </w:r>
            <w:r>
              <w:rPr>
                <w:rFonts w:hint="eastAsia" w:ascii="宋体" w:hAnsi="宋体" w:eastAsia="宋体" w:cs="宋体"/>
                <w:b/>
                <w:bCs/>
                <w:color w:val="auto"/>
                <w:sz w:val="21"/>
                <w:szCs w:val="21"/>
                <w:highlight w:val="none"/>
                <w:lang w:val="en-US" w:eastAsia="zh-CN"/>
              </w:rPr>
              <w:t>的不得分</w:t>
            </w:r>
            <w:r>
              <w:rPr>
                <w:rFonts w:hint="eastAsia" w:asciiTheme="minorEastAsia" w:hAnsiTheme="minorEastAsia" w:eastAsiaTheme="minorEastAsia" w:cstheme="minorEastAsia"/>
                <w:b/>
                <w:bCs/>
                <w:color w:val="000000" w:themeColor="text1"/>
                <w:szCs w:val="21"/>
                <w:highlight w:val="none"/>
                <w14:textFill>
                  <w14:solidFill>
                    <w14:schemeClr w14:val="tx1"/>
                  </w14:solidFill>
                </w14:textFill>
              </w:rPr>
              <w:t>。</w:t>
            </w:r>
          </w:p>
        </w:tc>
      </w:tr>
      <w:tr w14:paraId="0F630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567"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14:paraId="6CD6A5B4">
            <w:pPr>
              <w:pStyle w:val="48"/>
              <w:keepNext w:val="0"/>
              <w:keepLines w:val="0"/>
              <w:pageBreakBefore w:val="0"/>
              <w:kinsoku/>
              <w:wordWrap/>
              <w:overflowPunct/>
              <w:topLinePunct w:val="0"/>
              <w:autoSpaceDE/>
              <w:autoSpaceDN/>
              <w:bidi w:val="0"/>
              <w:adjustRightInd w:val="0"/>
              <w:snapToGrid/>
              <w:spacing w:line="240" w:lineRule="auto"/>
              <w:ind w:firstLine="0" w:firstLineChars="0"/>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1096" w:type="dxa"/>
            <w:tcBorders>
              <w:top w:val="single" w:color="auto" w:sz="4" w:space="0"/>
              <w:left w:val="single" w:color="auto" w:sz="4" w:space="0"/>
              <w:bottom w:val="single" w:color="auto" w:sz="4" w:space="0"/>
              <w:right w:val="single" w:color="auto" w:sz="4" w:space="0"/>
            </w:tcBorders>
            <w:vAlign w:val="center"/>
          </w:tcPr>
          <w:p w14:paraId="796AFC42">
            <w:pPr>
              <w:snapToGrid/>
              <w:spacing w:line="240" w:lineRule="auto"/>
              <w:jc w:val="center"/>
              <w:rPr>
                <w:rFonts w:hint="eastAsia" w:asciiTheme="minorEastAsia" w:hAnsiTheme="minorEastAsia" w:eastAsiaTheme="minorEastAsia" w:cstheme="minorEastAsia"/>
                <w:color w:val="auto"/>
                <w:sz w:val="21"/>
                <w:szCs w:val="21"/>
                <w:highlight w:val="none"/>
                <w:u w:val="none"/>
              </w:rPr>
            </w:pPr>
            <w:r>
              <w:rPr>
                <w:rStyle w:val="35"/>
                <w:rFonts w:hint="eastAsia" w:asciiTheme="minorEastAsia" w:hAnsiTheme="minorEastAsia" w:eastAsiaTheme="minorEastAsia" w:cstheme="minorEastAsia"/>
                <w:b w:val="0"/>
                <w:color w:val="000000" w:themeColor="text1"/>
                <w:szCs w:val="21"/>
                <w:highlight w:val="none"/>
                <w14:textFill>
                  <w14:solidFill>
                    <w14:schemeClr w14:val="tx1"/>
                  </w14:solidFill>
                </w14:textFill>
              </w:rPr>
              <w:t>体系认证</w:t>
            </w:r>
          </w:p>
        </w:tc>
        <w:tc>
          <w:tcPr>
            <w:tcW w:w="766" w:type="dxa"/>
            <w:tcBorders>
              <w:top w:val="single" w:color="auto" w:sz="4" w:space="0"/>
              <w:left w:val="single" w:color="auto" w:sz="4" w:space="0"/>
              <w:bottom w:val="single" w:color="auto" w:sz="4" w:space="0"/>
              <w:right w:val="single" w:color="auto" w:sz="4" w:space="0"/>
            </w:tcBorders>
            <w:vAlign w:val="center"/>
          </w:tcPr>
          <w:p w14:paraId="73007E4D">
            <w:pPr>
              <w:snapToGrid/>
              <w:spacing w:line="240" w:lineRule="auto"/>
              <w:jc w:val="center"/>
              <w:rPr>
                <w:rFonts w:hint="eastAsia" w:asciiTheme="minorEastAsia" w:hAnsiTheme="minorEastAsia" w:eastAsiaTheme="minorEastAsia" w:cstheme="minorEastAsia"/>
                <w:color w:val="auto"/>
                <w:sz w:val="21"/>
                <w:szCs w:val="21"/>
                <w:highlight w:val="none"/>
                <w:u w:val="none"/>
                <w:lang w:val="en-US" w:eastAsia="zh-CN"/>
              </w:rPr>
            </w:pP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分</w:t>
            </w:r>
          </w:p>
        </w:tc>
        <w:tc>
          <w:tcPr>
            <w:tcW w:w="7343" w:type="dxa"/>
            <w:tcBorders>
              <w:top w:val="single" w:color="auto" w:sz="4" w:space="0"/>
              <w:left w:val="single" w:color="auto" w:sz="4" w:space="0"/>
              <w:bottom w:val="single" w:color="auto" w:sz="4" w:space="0"/>
              <w:right w:val="single" w:color="auto" w:sz="4" w:space="0"/>
            </w:tcBorders>
            <w:vAlign w:val="center"/>
          </w:tcPr>
          <w:p w14:paraId="5891AFA5">
            <w:pPr>
              <w:snapToGrid/>
              <w:spacing w:line="300" w:lineRule="auto"/>
              <w:rPr>
                <w:rFonts w:hint="eastAsia" w:asciiTheme="minorEastAsia" w:hAnsiTheme="minorEastAsia" w:eastAsiaTheme="minorEastAsia" w:cstheme="minorEastAsia"/>
                <w:b w:val="0"/>
                <w:bCs w:val="0"/>
                <w:color w:val="auto"/>
                <w:szCs w:val="21"/>
                <w:highlight w:val="none"/>
              </w:rPr>
            </w:pPr>
            <w:r>
              <w:rPr>
                <w:rFonts w:hint="eastAsia" w:asciiTheme="minorEastAsia" w:hAnsiTheme="minorEastAsia" w:eastAsiaTheme="minorEastAsia" w:cstheme="minorEastAsia"/>
                <w:b w:val="0"/>
                <w:bCs w:val="0"/>
                <w:color w:val="auto"/>
                <w:szCs w:val="21"/>
                <w:highlight w:val="none"/>
              </w:rPr>
              <w:t>投标人</w:t>
            </w:r>
            <w:r>
              <w:rPr>
                <w:rFonts w:hint="eastAsia" w:asciiTheme="minorEastAsia" w:hAnsiTheme="minorEastAsia" w:eastAsiaTheme="minorEastAsia" w:cstheme="minorEastAsia"/>
                <w:color w:val="auto"/>
                <w:kern w:val="0"/>
                <w:sz w:val="21"/>
                <w:szCs w:val="21"/>
                <w:highlight w:val="none"/>
                <w:lang w:val="en-US" w:eastAsia="zh-CN" w:bidi="ar"/>
              </w:rPr>
              <w:t>持有</w:t>
            </w:r>
            <w:r>
              <w:rPr>
                <w:rFonts w:hint="eastAsia" w:asciiTheme="minorEastAsia" w:hAnsiTheme="minorEastAsia" w:eastAsiaTheme="minorEastAsia" w:cstheme="minorEastAsia"/>
                <w:b w:val="0"/>
                <w:bCs w:val="0"/>
                <w:color w:val="auto"/>
                <w:szCs w:val="21"/>
                <w:highlight w:val="none"/>
              </w:rPr>
              <w:t>以下由国家认证认可监督管理部门批准设立的认证机构颁发且在有效期内的认证证书：</w:t>
            </w:r>
          </w:p>
          <w:p w14:paraId="4A7B290F">
            <w:pPr>
              <w:tabs>
                <w:tab w:val="left" w:pos="420"/>
                <w:tab w:val="left" w:pos="3610"/>
                <w:tab w:val="right" w:pos="8306"/>
              </w:tabs>
              <w:snapToGrid/>
              <w:spacing w:line="300" w:lineRule="auto"/>
              <w:rPr>
                <w:rFonts w:hint="eastAsia" w:asciiTheme="minorEastAsia" w:hAnsiTheme="minorEastAsia" w:eastAsiaTheme="minorEastAsia" w:cstheme="minorEastAsia"/>
                <w:b w:val="0"/>
                <w:bCs w:val="0"/>
                <w:color w:val="auto"/>
                <w:szCs w:val="21"/>
                <w:highlight w:val="none"/>
                <w:lang w:eastAsia="zh-CN"/>
              </w:rPr>
            </w:pPr>
            <w:r>
              <w:rPr>
                <w:rFonts w:hint="eastAsia" w:asciiTheme="minorEastAsia" w:hAnsiTheme="minorEastAsia" w:eastAsiaTheme="minorEastAsia" w:cstheme="minorEastAsia"/>
                <w:b w:val="0"/>
                <w:bCs w:val="0"/>
                <w:color w:val="auto"/>
                <w:szCs w:val="21"/>
                <w:highlight w:val="none"/>
                <w:lang w:val="en-US" w:eastAsia="zh-CN"/>
              </w:rPr>
              <w:t>1、</w:t>
            </w:r>
            <w:r>
              <w:rPr>
                <w:rFonts w:hint="eastAsia" w:asciiTheme="minorEastAsia" w:hAnsiTheme="minorEastAsia" w:eastAsiaTheme="minorEastAsia" w:cstheme="minorEastAsia"/>
                <w:b w:val="0"/>
                <w:bCs w:val="0"/>
                <w:color w:val="auto"/>
                <w:szCs w:val="21"/>
                <w:highlight w:val="none"/>
              </w:rPr>
              <w:t>质量管理体系认证证书；</w:t>
            </w:r>
          </w:p>
          <w:p w14:paraId="28E8A701">
            <w:pPr>
              <w:tabs>
                <w:tab w:val="left" w:pos="420"/>
                <w:tab w:val="center" w:pos="4153"/>
                <w:tab w:val="right" w:pos="8306"/>
              </w:tabs>
              <w:snapToGrid/>
              <w:spacing w:line="300" w:lineRule="auto"/>
              <w:rPr>
                <w:rFonts w:hint="eastAsia" w:asciiTheme="minorEastAsia" w:hAnsiTheme="minorEastAsia" w:eastAsiaTheme="minorEastAsia" w:cstheme="minorEastAsia"/>
                <w:b w:val="0"/>
                <w:bCs w:val="0"/>
                <w:color w:val="auto"/>
                <w:szCs w:val="21"/>
                <w:highlight w:val="none"/>
              </w:rPr>
            </w:pPr>
            <w:r>
              <w:rPr>
                <w:rFonts w:hint="eastAsia" w:asciiTheme="minorEastAsia" w:hAnsiTheme="minorEastAsia" w:eastAsiaTheme="minorEastAsia" w:cstheme="minorEastAsia"/>
                <w:b w:val="0"/>
                <w:bCs w:val="0"/>
                <w:color w:val="auto"/>
                <w:szCs w:val="21"/>
                <w:highlight w:val="none"/>
                <w:lang w:val="en-US" w:eastAsia="zh-CN"/>
              </w:rPr>
              <w:t>2、</w:t>
            </w:r>
            <w:r>
              <w:rPr>
                <w:rFonts w:hint="eastAsia" w:asciiTheme="minorEastAsia" w:hAnsiTheme="minorEastAsia" w:eastAsiaTheme="minorEastAsia" w:cstheme="minorEastAsia"/>
                <w:b w:val="0"/>
                <w:bCs w:val="0"/>
                <w:color w:val="auto"/>
                <w:szCs w:val="21"/>
                <w:highlight w:val="none"/>
              </w:rPr>
              <w:t>职业健康安全管理体系认证证书；</w:t>
            </w:r>
          </w:p>
          <w:p w14:paraId="4D0A656F">
            <w:pPr>
              <w:tabs>
                <w:tab w:val="left" w:pos="420"/>
                <w:tab w:val="center" w:pos="4153"/>
                <w:tab w:val="right" w:pos="8306"/>
              </w:tabs>
              <w:snapToGrid/>
              <w:spacing w:line="300" w:lineRule="auto"/>
              <w:rPr>
                <w:rFonts w:hint="eastAsia" w:asciiTheme="minorEastAsia" w:hAnsiTheme="minorEastAsia" w:eastAsiaTheme="minorEastAsia" w:cstheme="minorEastAsia"/>
                <w:b w:val="0"/>
                <w:bCs w:val="0"/>
                <w:color w:val="auto"/>
                <w:szCs w:val="21"/>
                <w:highlight w:val="none"/>
              </w:rPr>
            </w:pPr>
            <w:r>
              <w:rPr>
                <w:rFonts w:hint="eastAsia" w:asciiTheme="minorEastAsia" w:hAnsiTheme="minorEastAsia" w:eastAsiaTheme="minorEastAsia" w:cstheme="minorEastAsia"/>
                <w:b w:val="0"/>
                <w:bCs w:val="0"/>
                <w:color w:val="auto"/>
                <w:szCs w:val="21"/>
                <w:highlight w:val="none"/>
                <w:lang w:val="en-US" w:eastAsia="zh-CN"/>
              </w:rPr>
              <w:t>3、</w:t>
            </w:r>
            <w:r>
              <w:rPr>
                <w:rFonts w:hint="eastAsia" w:asciiTheme="minorEastAsia" w:hAnsiTheme="minorEastAsia" w:eastAsiaTheme="minorEastAsia" w:cstheme="minorEastAsia"/>
                <w:b w:val="0"/>
                <w:bCs w:val="0"/>
                <w:color w:val="auto"/>
                <w:szCs w:val="21"/>
                <w:highlight w:val="none"/>
              </w:rPr>
              <w:t>环境管理体系认证证书；</w:t>
            </w:r>
          </w:p>
          <w:p w14:paraId="0F3CBDDB">
            <w:pPr>
              <w:tabs>
                <w:tab w:val="left" w:pos="420"/>
                <w:tab w:val="center" w:pos="4153"/>
                <w:tab w:val="right" w:pos="8306"/>
              </w:tabs>
              <w:snapToGrid/>
              <w:spacing w:line="300" w:lineRule="auto"/>
              <w:rPr>
                <w:rFonts w:hint="eastAsia" w:asciiTheme="minorEastAsia" w:hAnsiTheme="minorEastAsia" w:eastAsiaTheme="minorEastAsia" w:cstheme="minorEastAsia"/>
                <w:b w:val="0"/>
                <w:bCs w:val="0"/>
                <w:color w:val="auto"/>
                <w:szCs w:val="21"/>
                <w:highlight w:val="none"/>
              </w:rPr>
            </w:pPr>
            <w:r>
              <w:rPr>
                <w:rFonts w:hint="eastAsia" w:asciiTheme="minorEastAsia" w:hAnsiTheme="minorEastAsia" w:eastAsiaTheme="minorEastAsia" w:cstheme="minorEastAsia"/>
                <w:color w:val="auto"/>
                <w:szCs w:val="21"/>
                <w:highlight w:val="none"/>
              </w:rPr>
              <w:t>以上证书每提供1个得</w:t>
            </w:r>
            <w:r>
              <w:rPr>
                <w:rFonts w:hint="eastAsia" w:asciiTheme="minorEastAsia" w:hAnsiTheme="minorEastAsia" w:eastAsiaTheme="minorEastAsia" w:cstheme="minorEastAsia"/>
                <w:color w:val="auto"/>
                <w:szCs w:val="21"/>
                <w:highlight w:val="none"/>
                <w:lang w:val="en-US" w:eastAsia="zh-CN"/>
              </w:rPr>
              <w:t>1</w:t>
            </w:r>
            <w:r>
              <w:rPr>
                <w:rFonts w:hint="eastAsia" w:asciiTheme="minorEastAsia" w:hAnsiTheme="minorEastAsia" w:eastAsiaTheme="minorEastAsia" w:cstheme="minorEastAsia"/>
                <w:color w:val="auto"/>
                <w:szCs w:val="21"/>
                <w:highlight w:val="none"/>
              </w:rPr>
              <w:t>分</w:t>
            </w:r>
            <w:r>
              <w:rPr>
                <w:rFonts w:hint="eastAsia" w:asciiTheme="minorEastAsia" w:hAnsiTheme="minorEastAsia" w:eastAsiaTheme="minorEastAsia" w:cstheme="minorEastAsia"/>
                <w:b w:val="0"/>
                <w:bCs w:val="0"/>
                <w:color w:val="auto"/>
                <w:szCs w:val="21"/>
                <w:highlight w:val="none"/>
              </w:rPr>
              <w:t>，本项最高得</w:t>
            </w:r>
            <w:r>
              <w:rPr>
                <w:rFonts w:hint="eastAsia" w:asciiTheme="minorEastAsia" w:hAnsiTheme="minorEastAsia" w:eastAsiaTheme="minorEastAsia" w:cstheme="minorEastAsia"/>
                <w:b w:val="0"/>
                <w:bCs w:val="0"/>
                <w:color w:val="auto"/>
                <w:szCs w:val="21"/>
                <w:highlight w:val="none"/>
                <w:lang w:val="en-US" w:eastAsia="zh-CN"/>
              </w:rPr>
              <w:t>3</w:t>
            </w:r>
            <w:r>
              <w:rPr>
                <w:rFonts w:hint="eastAsia" w:asciiTheme="minorEastAsia" w:hAnsiTheme="minorEastAsia" w:eastAsiaTheme="minorEastAsia" w:cstheme="minorEastAsia"/>
                <w:b w:val="0"/>
                <w:bCs w:val="0"/>
                <w:color w:val="auto"/>
                <w:szCs w:val="21"/>
                <w:highlight w:val="none"/>
              </w:rPr>
              <w:t>分。</w:t>
            </w:r>
          </w:p>
          <w:p w14:paraId="212FF9ED">
            <w:pPr>
              <w:keepNext w:val="0"/>
              <w:keepLines w:val="0"/>
              <w:pageBreakBefore w:val="0"/>
              <w:widowControl/>
              <w:kinsoku/>
              <w:wordWrap/>
              <w:overflowPunct/>
              <w:topLinePunct w:val="0"/>
              <w:autoSpaceDE/>
              <w:autoSpaceDN/>
              <w:bidi w:val="0"/>
              <w:adjustRightInd w:val="0"/>
              <w:snapToGrid/>
              <w:spacing w:line="300" w:lineRule="auto"/>
              <w:ind w:firstLine="0" w:firstLineChars="0"/>
              <w:textAlignment w:val="auto"/>
              <w:rPr>
                <w:rFonts w:hint="eastAsia" w:asciiTheme="minorEastAsia" w:hAnsiTheme="minorEastAsia" w:eastAsiaTheme="minorEastAsia" w:cstheme="minorEastAsia"/>
                <w:b w:val="0"/>
                <w:bCs/>
                <w:color w:val="auto"/>
                <w:highlight w:val="none"/>
                <w:u w:val="none"/>
              </w:rPr>
            </w:pPr>
            <w:r>
              <w:rPr>
                <w:rFonts w:hint="eastAsia" w:asciiTheme="minorEastAsia" w:hAnsiTheme="minorEastAsia" w:eastAsiaTheme="minorEastAsia" w:cstheme="minorEastAsia"/>
                <w:b/>
                <w:bCs/>
                <w:color w:val="auto"/>
                <w:szCs w:val="21"/>
                <w:highlight w:val="none"/>
              </w:rPr>
              <w:t>注：投标</w:t>
            </w:r>
            <w:r>
              <w:rPr>
                <w:rFonts w:hint="eastAsia" w:asciiTheme="minorEastAsia" w:hAnsiTheme="minorEastAsia" w:eastAsiaTheme="minorEastAsia" w:cstheme="minorEastAsia"/>
                <w:b/>
                <w:bCs/>
                <w:color w:val="auto"/>
                <w:szCs w:val="21"/>
                <w:highlight w:val="none"/>
                <w:lang w:val="en-US" w:eastAsia="zh-CN"/>
              </w:rPr>
              <w:t>人</w:t>
            </w:r>
            <w:r>
              <w:rPr>
                <w:rFonts w:hint="eastAsia" w:asciiTheme="minorEastAsia" w:hAnsiTheme="minorEastAsia" w:eastAsiaTheme="minorEastAsia" w:cstheme="minorEastAsia"/>
                <w:b/>
                <w:bCs/>
                <w:color w:val="auto"/>
                <w:szCs w:val="21"/>
                <w:highlight w:val="none"/>
              </w:rPr>
              <w:t>须同时提供以下证明材料</w:t>
            </w:r>
            <w:r>
              <w:rPr>
                <w:rStyle w:val="35"/>
                <w:rFonts w:hint="eastAsia" w:asciiTheme="minorEastAsia" w:hAnsiTheme="minorEastAsia" w:eastAsiaTheme="minorEastAsia" w:cstheme="minorEastAsia"/>
                <w:b/>
                <w:bCs w:val="0"/>
                <w:color w:val="auto"/>
                <w:szCs w:val="21"/>
                <w:highlight w:val="none"/>
              </w:rPr>
              <w:t>并加盖投标人公章</w:t>
            </w:r>
            <w:r>
              <w:rPr>
                <w:rFonts w:hint="eastAsia" w:asciiTheme="minorEastAsia" w:hAnsiTheme="minorEastAsia" w:eastAsiaTheme="minorEastAsia" w:cstheme="minorEastAsia"/>
                <w:b/>
                <w:bCs w:val="0"/>
                <w:color w:val="auto"/>
                <w:szCs w:val="21"/>
                <w:highlight w:val="none"/>
              </w:rPr>
              <w:t>：</w:t>
            </w:r>
            <w:r>
              <w:rPr>
                <w:rFonts w:hint="eastAsia" w:asciiTheme="minorEastAsia" w:hAnsiTheme="minorEastAsia" w:eastAsiaTheme="minorEastAsia" w:cstheme="minorEastAsia"/>
                <w:b/>
                <w:bCs/>
                <w:color w:val="auto"/>
                <w:szCs w:val="21"/>
                <w:highlight w:val="none"/>
              </w:rPr>
              <w:t>①有效证书复印件；②全国认证认可信息公共服务平台（http://cx.cnca.cn/）查询截图（查询截图中的证书状态须为“有效”）。未提供</w:t>
            </w:r>
            <w:r>
              <w:rPr>
                <w:rFonts w:hint="eastAsia" w:asciiTheme="minorEastAsia" w:hAnsiTheme="minorEastAsia" w:eastAsiaTheme="minorEastAsia" w:cstheme="minorEastAsia"/>
                <w:b/>
                <w:bCs/>
                <w:szCs w:val="21"/>
                <w:highlight w:val="none"/>
              </w:rPr>
              <w:t>或未按要求提供的，对应证书不得分。</w:t>
            </w:r>
          </w:p>
        </w:tc>
      </w:tr>
      <w:tr w14:paraId="31BF1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567"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14:paraId="2C1C5F5C">
            <w:pPr>
              <w:pStyle w:val="48"/>
              <w:keepNext w:val="0"/>
              <w:keepLines w:val="0"/>
              <w:pageBreakBefore w:val="0"/>
              <w:kinsoku/>
              <w:wordWrap/>
              <w:overflowPunct/>
              <w:topLinePunct w:val="0"/>
              <w:autoSpaceDE/>
              <w:autoSpaceDN/>
              <w:bidi w:val="0"/>
              <w:adjustRightInd w:val="0"/>
              <w:snapToGrid/>
              <w:spacing w:line="240" w:lineRule="auto"/>
              <w:ind w:firstLine="0" w:firstLineChars="0"/>
              <w:jc w:val="center"/>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w:t>
            </w:r>
          </w:p>
        </w:tc>
        <w:tc>
          <w:tcPr>
            <w:tcW w:w="1096" w:type="dxa"/>
            <w:tcBorders>
              <w:top w:val="single" w:color="auto" w:sz="4" w:space="0"/>
              <w:left w:val="single" w:color="auto" w:sz="4" w:space="0"/>
              <w:bottom w:val="single" w:color="auto" w:sz="4" w:space="0"/>
              <w:right w:val="single" w:color="auto" w:sz="4" w:space="0"/>
            </w:tcBorders>
            <w:vAlign w:val="center"/>
          </w:tcPr>
          <w:p w14:paraId="06A771C2">
            <w:pPr>
              <w:snapToGrid/>
              <w:spacing w:line="240" w:lineRule="auto"/>
              <w:jc w:val="center"/>
              <w:rPr>
                <w:rStyle w:val="35"/>
                <w:rFonts w:hint="eastAsia" w:asciiTheme="minorEastAsia" w:hAnsiTheme="minorEastAsia" w:eastAsiaTheme="minorEastAsia" w:cstheme="minorEastAsia"/>
                <w:b w:val="0"/>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val="0"/>
                <w:bCs w:val="0"/>
                <w:sz w:val="21"/>
                <w:szCs w:val="21"/>
                <w:highlight w:val="none"/>
              </w:rPr>
              <w:t>财务状况</w:t>
            </w:r>
          </w:p>
        </w:tc>
        <w:tc>
          <w:tcPr>
            <w:tcW w:w="766" w:type="dxa"/>
            <w:tcBorders>
              <w:top w:val="single" w:color="auto" w:sz="4" w:space="0"/>
              <w:left w:val="single" w:color="auto" w:sz="4" w:space="0"/>
              <w:bottom w:val="single" w:color="auto" w:sz="4" w:space="0"/>
              <w:right w:val="single" w:color="auto" w:sz="4" w:space="0"/>
            </w:tcBorders>
            <w:vAlign w:val="center"/>
          </w:tcPr>
          <w:p w14:paraId="5632784C">
            <w:pPr>
              <w:snapToGrid/>
              <w:spacing w:line="24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3</w:t>
            </w:r>
            <w:r>
              <w:rPr>
                <w:rFonts w:hint="eastAsia" w:asciiTheme="minorEastAsia" w:hAnsiTheme="minorEastAsia" w:eastAsiaTheme="minorEastAsia" w:cstheme="minorEastAsia"/>
                <w:sz w:val="21"/>
                <w:szCs w:val="21"/>
                <w:highlight w:val="none"/>
              </w:rPr>
              <w:t>分</w:t>
            </w:r>
          </w:p>
        </w:tc>
        <w:tc>
          <w:tcPr>
            <w:tcW w:w="7343" w:type="dxa"/>
            <w:tcBorders>
              <w:top w:val="single" w:color="auto" w:sz="4" w:space="0"/>
              <w:left w:val="single" w:color="auto" w:sz="4" w:space="0"/>
              <w:bottom w:val="single" w:color="auto" w:sz="4" w:space="0"/>
              <w:right w:val="single" w:color="auto" w:sz="4" w:space="0"/>
            </w:tcBorders>
            <w:vAlign w:val="center"/>
          </w:tcPr>
          <w:p w14:paraId="42F2B7EA">
            <w:pPr>
              <w:keepNext w:val="0"/>
              <w:keepLines w:val="0"/>
              <w:pageBreakBefore w:val="0"/>
              <w:widowControl w:val="0"/>
              <w:tabs>
                <w:tab w:val="left" w:pos="907"/>
              </w:tabs>
              <w:kinsoku/>
              <w:wordWrap/>
              <w:overflowPunct/>
              <w:topLinePunct w:val="0"/>
              <w:autoSpaceDE/>
              <w:autoSpaceDN/>
              <w:bidi w:val="0"/>
              <w:adjustRightInd/>
              <w:snapToGrid/>
              <w:spacing w:line="300" w:lineRule="auto"/>
              <w:jc w:val="both"/>
              <w:textAlignment w:val="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b w:val="0"/>
                <w:bCs w:val="0"/>
                <w:sz w:val="21"/>
                <w:szCs w:val="21"/>
                <w:highlight w:val="none"/>
              </w:rPr>
              <w:t>投标人202</w:t>
            </w:r>
            <w:r>
              <w:rPr>
                <w:rFonts w:hint="eastAsia" w:asciiTheme="minorEastAsia" w:hAnsiTheme="minorEastAsia" w:eastAsiaTheme="minorEastAsia" w:cstheme="minorEastAsia"/>
                <w:b w:val="0"/>
                <w:bCs w:val="0"/>
                <w:sz w:val="21"/>
                <w:szCs w:val="21"/>
                <w:highlight w:val="none"/>
                <w:lang w:val="en-US" w:eastAsia="zh-CN"/>
              </w:rPr>
              <w:t>1</w:t>
            </w:r>
            <w:r>
              <w:rPr>
                <w:rFonts w:hint="eastAsia" w:asciiTheme="minorEastAsia" w:hAnsiTheme="minorEastAsia" w:eastAsiaTheme="minorEastAsia" w:cstheme="minorEastAsia"/>
                <w:b w:val="0"/>
                <w:bCs w:val="0"/>
                <w:sz w:val="21"/>
                <w:szCs w:val="21"/>
                <w:highlight w:val="none"/>
              </w:rPr>
              <w:t>年</w:t>
            </w:r>
            <w:r>
              <w:rPr>
                <w:rFonts w:hint="eastAsia" w:asciiTheme="minorEastAsia" w:hAnsiTheme="minorEastAsia" w:eastAsiaTheme="minorEastAsia" w:cstheme="minorEastAsia"/>
                <w:b w:val="0"/>
                <w:bCs w:val="0"/>
                <w:sz w:val="21"/>
                <w:szCs w:val="21"/>
                <w:highlight w:val="none"/>
                <w:lang w:eastAsia="zh-CN"/>
              </w:rPr>
              <w:t>—</w:t>
            </w:r>
            <w:r>
              <w:rPr>
                <w:rFonts w:hint="eastAsia" w:asciiTheme="minorEastAsia" w:hAnsiTheme="minorEastAsia" w:eastAsiaTheme="minorEastAsia" w:cstheme="minorEastAsia"/>
                <w:b w:val="0"/>
                <w:bCs w:val="0"/>
                <w:sz w:val="21"/>
                <w:szCs w:val="21"/>
                <w:highlight w:val="none"/>
              </w:rPr>
              <w:t>202</w:t>
            </w:r>
            <w:r>
              <w:rPr>
                <w:rFonts w:hint="eastAsia" w:asciiTheme="minorEastAsia" w:hAnsiTheme="minorEastAsia" w:eastAsiaTheme="minorEastAsia" w:cstheme="minorEastAsia"/>
                <w:b w:val="0"/>
                <w:bCs w:val="0"/>
                <w:sz w:val="21"/>
                <w:szCs w:val="21"/>
                <w:highlight w:val="none"/>
                <w:lang w:val="en-US" w:eastAsia="zh-CN"/>
              </w:rPr>
              <w:t>5</w:t>
            </w:r>
            <w:r>
              <w:rPr>
                <w:rFonts w:hint="eastAsia" w:asciiTheme="minorEastAsia" w:hAnsiTheme="minorEastAsia" w:eastAsiaTheme="minorEastAsia" w:cstheme="minorEastAsia"/>
                <w:b w:val="0"/>
                <w:bCs w:val="0"/>
                <w:sz w:val="21"/>
                <w:szCs w:val="21"/>
                <w:highlight w:val="none"/>
              </w:rPr>
              <w:t>年</w:t>
            </w:r>
            <w:r>
              <w:rPr>
                <w:rFonts w:hint="eastAsia" w:asciiTheme="minorEastAsia" w:hAnsiTheme="minorEastAsia" w:eastAsiaTheme="minorEastAsia" w:cstheme="minorEastAsia"/>
                <w:b w:val="0"/>
                <w:bCs w:val="0"/>
                <w:sz w:val="21"/>
                <w:szCs w:val="21"/>
                <w:highlight w:val="none"/>
                <w:lang w:val="en-US" w:eastAsia="zh-CN"/>
              </w:rPr>
              <w:t>任意</w:t>
            </w:r>
            <w:r>
              <w:rPr>
                <w:rFonts w:hint="eastAsia" w:asciiTheme="minorEastAsia" w:hAnsiTheme="minorEastAsia" w:eastAsiaTheme="minorEastAsia" w:cstheme="minorEastAsia"/>
                <w:b w:val="0"/>
                <w:bCs w:val="0"/>
                <w:sz w:val="21"/>
                <w:szCs w:val="21"/>
                <w:highlight w:val="none"/>
              </w:rPr>
              <w:t>三个年度，每具有1个年度盈利的得1分</w:t>
            </w:r>
            <w:r>
              <w:rPr>
                <w:rFonts w:hint="eastAsia" w:asciiTheme="minorEastAsia" w:hAnsiTheme="minorEastAsia" w:eastAsiaTheme="minorEastAsia" w:cstheme="minorEastAsia"/>
                <w:szCs w:val="21"/>
                <w:highlight w:val="none"/>
                <w:lang w:val="en-US" w:eastAsia="zh-CN"/>
              </w:rPr>
              <w:t>，</w:t>
            </w:r>
            <w:r>
              <w:rPr>
                <w:rFonts w:hint="eastAsia" w:asciiTheme="minorEastAsia" w:hAnsiTheme="minorEastAsia" w:eastAsiaTheme="minorEastAsia" w:cstheme="minorEastAsia"/>
                <w:szCs w:val="21"/>
                <w:highlight w:val="none"/>
              </w:rPr>
              <w:t>本项最高得</w:t>
            </w:r>
            <w:r>
              <w:rPr>
                <w:rFonts w:hint="eastAsia" w:asciiTheme="minorEastAsia" w:hAnsiTheme="minorEastAsia" w:eastAsiaTheme="minorEastAsia" w:cstheme="minorEastAsia"/>
                <w:szCs w:val="21"/>
                <w:highlight w:val="none"/>
                <w:lang w:val="en-US" w:eastAsia="zh-CN"/>
              </w:rPr>
              <w:t>3</w:t>
            </w:r>
            <w:r>
              <w:rPr>
                <w:rFonts w:hint="eastAsia" w:asciiTheme="minorEastAsia" w:hAnsiTheme="minorEastAsia" w:eastAsiaTheme="minorEastAsia" w:cstheme="minorEastAsia"/>
                <w:szCs w:val="21"/>
                <w:highlight w:val="none"/>
              </w:rPr>
              <w:t>分。</w:t>
            </w:r>
          </w:p>
          <w:p w14:paraId="7851C260">
            <w:pPr>
              <w:keepNext w:val="0"/>
              <w:keepLines w:val="0"/>
              <w:pageBreakBefore w:val="0"/>
              <w:widowControl/>
              <w:kinsoku/>
              <w:wordWrap/>
              <w:overflowPunct/>
              <w:topLinePunct w:val="0"/>
              <w:autoSpaceDE/>
              <w:autoSpaceDN/>
              <w:bidi w:val="0"/>
              <w:adjustRightInd w:val="0"/>
              <w:snapToGrid/>
              <w:spacing w:line="300" w:lineRule="auto"/>
              <w:ind w:firstLine="0" w:firstLineChars="0"/>
              <w:textAlignment w:val="auto"/>
              <w:rPr>
                <w:rFonts w:hint="eastAsia" w:asciiTheme="minorEastAsia" w:hAnsiTheme="minorEastAsia" w:eastAsiaTheme="minorEastAsia" w:cstheme="minorEastAsia"/>
                <w:b/>
                <w:bCs w:val="0"/>
                <w:color w:val="auto"/>
                <w:highlight w:val="none"/>
                <w:u w:val="none"/>
              </w:rPr>
            </w:pPr>
            <w:r>
              <w:rPr>
                <w:rStyle w:val="35"/>
                <w:rFonts w:hint="eastAsia" w:asciiTheme="minorEastAsia" w:hAnsiTheme="minorEastAsia" w:eastAsiaTheme="minorEastAsia" w:cstheme="minorEastAsia"/>
                <w:b/>
                <w:bCs w:val="0"/>
                <w:color w:val="000000" w:themeColor="text1"/>
                <w:szCs w:val="21"/>
                <w:highlight w:val="none"/>
                <w:lang w:val="en-US" w:eastAsia="zh-CN"/>
                <w14:textFill>
                  <w14:solidFill>
                    <w14:schemeClr w14:val="tx1"/>
                  </w14:solidFill>
                </w14:textFill>
              </w:rPr>
              <w:t>注：</w:t>
            </w:r>
            <w:r>
              <w:rPr>
                <w:rStyle w:val="35"/>
                <w:rFonts w:hint="eastAsia" w:asciiTheme="minorEastAsia" w:hAnsiTheme="minorEastAsia" w:eastAsiaTheme="minorEastAsia" w:cstheme="minorEastAsia"/>
                <w:b/>
                <w:bCs w:val="0"/>
                <w:color w:val="000000" w:themeColor="text1"/>
                <w:szCs w:val="21"/>
                <w:highlight w:val="none"/>
                <w14:textFill>
                  <w14:solidFill>
                    <w14:schemeClr w14:val="tx1"/>
                  </w14:solidFill>
                </w14:textFill>
              </w:rPr>
              <w:t>盈利指净利润为正数（非零、非负数），</w:t>
            </w:r>
            <w:r>
              <w:rPr>
                <w:rStyle w:val="35"/>
                <w:rFonts w:hint="eastAsia" w:asciiTheme="minorEastAsia" w:hAnsiTheme="minorEastAsia" w:eastAsiaTheme="minorEastAsia" w:cstheme="minorEastAsia"/>
                <w:b/>
                <w:bCs w:val="0"/>
                <w:color w:val="000000" w:themeColor="text1"/>
                <w:szCs w:val="21"/>
                <w:highlight w:val="none"/>
                <w:lang w:eastAsia="zh-CN"/>
                <w14:textFill>
                  <w14:solidFill>
                    <w14:schemeClr w14:val="tx1"/>
                  </w14:solidFill>
                </w14:textFill>
              </w:rPr>
              <w:t>投标人</w:t>
            </w:r>
            <w:r>
              <w:rPr>
                <w:rStyle w:val="35"/>
                <w:rFonts w:hint="eastAsia" w:asciiTheme="minorEastAsia" w:hAnsiTheme="minorEastAsia" w:eastAsiaTheme="minorEastAsia" w:cstheme="minorEastAsia"/>
                <w:b/>
                <w:bCs w:val="0"/>
                <w:color w:val="000000" w:themeColor="text1"/>
                <w:szCs w:val="21"/>
                <w:highlight w:val="none"/>
                <w14:textFill>
                  <w14:solidFill>
                    <w14:schemeClr w14:val="tx1"/>
                  </w14:solidFill>
                </w14:textFill>
              </w:rPr>
              <w:t>应提供</w:t>
            </w:r>
            <w:r>
              <w:rPr>
                <w:rStyle w:val="35"/>
                <w:rFonts w:hint="eastAsia" w:asciiTheme="minorEastAsia" w:hAnsiTheme="minorEastAsia" w:eastAsiaTheme="minorEastAsia" w:cstheme="minorEastAsia"/>
                <w:b/>
                <w:bCs w:val="0"/>
                <w:color w:val="000000" w:themeColor="text1"/>
                <w:szCs w:val="21"/>
                <w:highlight w:val="none"/>
                <w:lang w:val="en-US" w:eastAsia="zh-CN"/>
                <w14:textFill>
                  <w14:solidFill>
                    <w14:schemeClr w14:val="tx1"/>
                  </w14:solidFill>
                </w14:textFill>
              </w:rPr>
              <w:t>2021</w:t>
            </w:r>
            <w:r>
              <w:rPr>
                <w:rStyle w:val="35"/>
                <w:rFonts w:hint="eastAsia" w:asciiTheme="minorEastAsia" w:hAnsiTheme="minorEastAsia" w:eastAsiaTheme="minorEastAsia" w:cstheme="minorEastAsia"/>
                <w:b/>
                <w:bCs w:val="0"/>
                <w:color w:val="000000" w:themeColor="text1"/>
                <w:szCs w:val="21"/>
                <w:highlight w:val="none"/>
                <w14:textFill>
                  <w14:solidFill>
                    <w14:schemeClr w14:val="tx1"/>
                  </w14:solidFill>
                </w14:textFill>
              </w:rPr>
              <w:t>年</w:t>
            </w:r>
            <w:r>
              <w:rPr>
                <w:rStyle w:val="35"/>
                <w:rFonts w:hint="eastAsia" w:asciiTheme="minorEastAsia" w:hAnsiTheme="minorEastAsia" w:eastAsiaTheme="minorEastAsia" w:cstheme="minorEastAsia"/>
                <w:b/>
                <w:bCs w:val="0"/>
                <w:color w:val="000000" w:themeColor="text1"/>
                <w:szCs w:val="21"/>
                <w:highlight w:val="none"/>
                <w:lang w:val="en-US" w:eastAsia="zh-CN"/>
                <w14:textFill>
                  <w14:solidFill>
                    <w14:schemeClr w14:val="tx1"/>
                  </w14:solidFill>
                </w14:textFill>
              </w:rPr>
              <w:t>、2022</w:t>
            </w:r>
            <w:r>
              <w:rPr>
                <w:rStyle w:val="35"/>
                <w:rFonts w:hint="eastAsia" w:asciiTheme="minorEastAsia" w:hAnsiTheme="minorEastAsia" w:eastAsiaTheme="minorEastAsia" w:cstheme="minorEastAsia"/>
                <w:b/>
                <w:bCs w:val="0"/>
                <w:color w:val="000000" w:themeColor="text1"/>
                <w:szCs w:val="21"/>
                <w:highlight w:val="none"/>
                <w14:textFill>
                  <w14:solidFill>
                    <w14:schemeClr w14:val="tx1"/>
                  </w14:solidFill>
                </w14:textFill>
              </w:rPr>
              <w:t>年</w:t>
            </w:r>
            <w:r>
              <w:rPr>
                <w:rStyle w:val="35"/>
                <w:rFonts w:hint="eastAsia" w:asciiTheme="minorEastAsia" w:hAnsiTheme="minorEastAsia" w:eastAsiaTheme="minorEastAsia" w:cstheme="minorEastAsia"/>
                <w:b/>
                <w:bCs w:val="0"/>
                <w:color w:val="000000" w:themeColor="text1"/>
                <w:szCs w:val="21"/>
                <w:highlight w:val="none"/>
                <w:lang w:val="en-US" w:eastAsia="zh-CN"/>
                <w14:textFill>
                  <w14:solidFill>
                    <w14:schemeClr w14:val="tx1"/>
                  </w14:solidFill>
                </w14:textFill>
              </w:rPr>
              <w:t>、</w:t>
            </w:r>
            <w:r>
              <w:rPr>
                <w:rStyle w:val="35"/>
                <w:rFonts w:hint="eastAsia" w:asciiTheme="minorEastAsia" w:hAnsiTheme="minorEastAsia" w:eastAsiaTheme="minorEastAsia" w:cstheme="minorEastAsia"/>
                <w:b/>
                <w:bCs w:val="0"/>
                <w:color w:val="000000" w:themeColor="text1"/>
                <w:szCs w:val="21"/>
                <w:highlight w:val="none"/>
                <w14:textFill>
                  <w14:solidFill>
                    <w14:schemeClr w14:val="tx1"/>
                  </w14:solidFill>
                </w14:textFill>
              </w:rPr>
              <w:t>20</w:t>
            </w:r>
            <w:r>
              <w:rPr>
                <w:rStyle w:val="35"/>
                <w:rFonts w:hint="eastAsia" w:asciiTheme="minorEastAsia" w:hAnsiTheme="minorEastAsia" w:eastAsiaTheme="minorEastAsia" w:cstheme="minorEastAsia"/>
                <w:b/>
                <w:bCs w:val="0"/>
                <w:color w:val="000000" w:themeColor="text1"/>
                <w:szCs w:val="21"/>
                <w:highlight w:val="none"/>
                <w:lang w:val="en-US" w:eastAsia="zh-CN"/>
                <w14:textFill>
                  <w14:solidFill>
                    <w14:schemeClr w14:val="tx1"/>
                  </w14:solidFill>
                </w14:textFill>
              </w:rPr>
              <w:t>23</w:t>
            </w:r>
            <w:r>
              <w:rPr>
                <w:rStyle w:val="35"/>
                <w:rFonts w:hint="eastAsia" w:asciiTheme="minorEastAsia" w:hAnsiTheme="minorEastAsia" w:eastAsiaTheme="minorEastAsia" w:cstheme="minorEastAsia"/>
                <w:b/>
                <w:bCs w:val="0"/>
                <w:color w:val="000000" w:themeColor="text1"/>
                <w:szCs w:val="21"/>
                <w:highlight w:val="none"/>
                <w14:textFill>
                  <w14:solidFill>
                    <w14:schemeClr w14:val="tx1"/>
                  </w14:solidFill>
                </w14:textFill>
              </w:rPr>
              <w:t>年、20</w:t>
            </w:r>
            <w:r>
              <w:rPr>
                <w:rStyle w:val="35"/>
                <w:rFonts w:hint="eastAsia" w:asciiTheme="minorEastAsia" w:hAnsiTheme="minorEastAsia" w:eastAsiaTheme="minorEastAsia" w:cstheme="minorEastAsia"/>
                <w:b/>
                <w:bCs w:val="0"/>
                <w:color w:val="000000" w:themeColor="text1"/>
                <w:szCs w:val="21"/>
                <w:highlight w:val="none"/>
                <w:lang w:val="en-US" w:eastAsia="zh-CN"/>
                <w14:textFill>
                  <w14:solidFill>
                    <w14:schemeClr w14:val="tx1"/>
                  </w14:solidFill>
                </w14:textFill>
              </w:rPr>
              <w:t>24</w:t>
            </w:r>
            <w:r>
              <w:rPr>
                <w:rStyle w:val="35"/>
                <w:rFonts w:hint="eastAsia" w:asciiTheme="minorEastAsia" w:hAnsiTheme="minorEastAsia" w:eastAsiaTheme="minorEastAsia" w:cstheme="minorEastAsia"/>
                <w:b/>
                <w:bCs w:val="0"/>
                <w:color w:val="000000" w:themeColor="text1"/>
                <w:szCs w:val="21"/>
                <w:highlight w:val="none"/>
                <w14:textFill>
                  <w14:solidFill>
                    <w14:schemeClr w14:val="tx1"/>
                  </w14:solidFill>
                </w14:textFill>
              </w:rPr>
              <w:t>年、20</w:t>
            </w:r>
            <w:r>
              <w:rPr>
                <w:rStyle w:val="35"/>
                <w:rFonts w:hint="eastAsia" w:asciiTheme="minorEastAsia" w:hAnsiTheme="minorEastAsia" w:eastAsiaTheme="minorEastAsia" w:cstheme="minorEastAsia"/>
                <w:b/>
                <w:bCs w:val="0"/>
                <w:color w:val="000000" w:themeColor="text1"/>
                <w:szCs w:val="21"/>
                <w:highlight w:val="none"/>
                <w:lang w:val="en-US" w:eastAsia="zh-CN"/>
                <w14:textFill>
                  <w14:solidFill>
                    <w14:schemeClr w14:val="tx1"/>
                  </w14:solidFill>
                </w14:textFill>
              </w:rPr>
              <w:t>25</w:t>
            </w:r>
            <w:r>
              <w:rPr>
                <w:rStyle w:val="35"/>
                <w:rFonts w:hint="eastAsia" w:asciiTheme="minorEastAsia" w:hAnsiTheme="minorEastAsia" w:eastAsiaTheme="minorEastAsia" w:cstheme="minorEastAsia"/>
                <w:b/>
                <w:bCs w:val="0"/>
                <w:color w:val="000000" w:themeColor="text1"/>
                <w:szCs w:val="21"/>
                <w:highlight w:val="none"/>
                <w14:textFill>
                  <w14:solidFill>
                    <w14:schemeClr w14:val="tx1"/>
                  </w14:solidFill>
                </w14:textFill>
              </w:rPr>
              <w:t>年</w:t>
            </w:r>
            <w:r>
              <w:rPr>
                <w:rStyle w:val="35"/>
                <w:rFonts w:hint="eastAsia" w:asciiTheme="minorEastAsia" w:hAnsiTheme="minorEastAsia" w:eastAsiaTheme="minorEastAsia" w:cstheme="minorEastAsia"/>
                <w:b/>
                <w:bCs w:val="0"/>
                <w:color w:val="000000" w:themeColor="text1"/>
                <w:szCs w:val="21"/>
                <w:highlight w:val="none"/>
                <w:lang w:val="en-US" w:eastAsia="zh-CN"/>
                <w14:textFill>
                  <w14:solidFill>
                    <w14:schemeClr w14:val="tx1"/>
                  </w14:solidFill>
                </w14:textFill>
              </w:rPr>
              <w:t>任意</w:t>
            </w:r>
            <w:r>
              <w:rPr>
                <w:rStyle w:val="35"/>
                <w:rFonts w:hint="eastAsia" w:asciiTheme="minorEastAsia" w:hAnsiTheme="minorEastAsia" w:eastAsiaTheme="minorEastAsia" w:cstheme="minorEastAsia"/>
                <w:b/>
                <w:bCs w:val="0"/>
                <w:color w:val="000000" w:themeColor="text1"/>
                <w:szCs w:val="21"/>
                <w:highlight w:val="none"/>
                <w14:textFill>
                  <w14:solidFill>
                    <w14:schemeClr w14:val="tx1"/>
                  </w14:solidFill>
                </w14:textFill>
              </w:rPr>
              <w:t>三个年度的财务报表，净利润以对应年度经审计的财务报表为准，应提供经独立会计师事务所审计过的有效的财务报表原件扫描件；未提供前述财务报表或财务报表未能反映净利润的，不得分。</w:t>
            </w:r>
          </w:p>
        </w:tc>
      </w:tr>
      <w:tr w14:paraId="5BBD4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567"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14:paraId="3A992C42">
            <w:pPr>
              <w:pStyle w:val="48"/>
              <w:keepNext w:val="0"/>
              <w:keepLines w:val="0"/>
              <w:pageBreakBefore w:val="0"/>
              <w:kinsoku/>
              <w:wordWrap/>
              <w:overflowPunct/>
              <w:topLinePunct w:val="0"/>
              <w:autoSpaceDE/>
              <w:autoSpaceDN/>
              <w:bidi w:val="0"/>
              <w:adjustRightInd w:val="0"/>
              <w:snapToGrid/>
              <w:spacing w:line="240" w:lineRule="auto"/>
              <w:ind w:firstLine="0" w:firstLineChars="0"/>
              <w:jc w:val="center"/>
              <w:textAlignment w:val="auto"/>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4</w:t>
            </w:r>
          </w:p>
        </w:tc>
        <w:tc>
          <w:tcPr>
            <w:tcW w:w="1096" w:type="dxa"/>
            <w:tcBorders>
              <w:top w:val="single" w:color="auto" w:sz="4" w:space="0"/>
              <w:left w:val="single" w:color="auto" w:sz="4" w:space="0"/>
              <w:bottom w:val="single" w:color="auto" w:sz="4" w:space="0"/>
              <w:right w:val="single" w:color="auto" w:sz="4" w:space="0"/>
            </w:tcBorders>
            <w:vAlign w:val="center"/>
          </w:tcPr>
          <w:p w14:paraId="55558421">
            <w:pPr>
              <w:snapToGrid/>
              <w:spacing w:line="240" w:lineRule="auto"/>
              <w:jc w:val="center"/>
              <w:rPr>
                <w:rFonts w:hint="eastAsia" w:asciiTheme="minorEastAsia" w:hAnsiTheme="minorEastAsia" w:eastAsiaTheme="minorEastAsia" w:cstheme="minorEastAsia"/>
                <w:b w:val="0"/>
                <w:bCs w:val="0"/>
                <w:sz w:val="21"/>
                <w:szCs w:val="21"/>
                <w:highlight w:val="none"/>
              </w:rPr>
            </w:pPr>
            <w:r>
              <w:rPr>
                <w:rStyle w:val="35"/>
                <w:rFonts w:hint="eastAsia" w:hAnsi="宋体" w:cs="Segoe UI"/>
                <w:b w:val="0"/>
                <w:color w:val="000000" w:themeColor="text1"/>
                <w:szCs w:val="21"/>
                <w:highlight w:val="none"/>
                <w14:textFill>
                  <w14:solidFill>
                    <w14:schemeClr w14:val="tx1"/>
                  </w14:solidFill>
                </w14:textFill>
              </w:rPr>
              <w:t>服务周期承诺</w:t>
            </w:r>
          </w:p>
        </w:tc>
        <w:tc>
          <w:tcPr>
            <w:tcW w:w="766" w:type="dxa"/>
            <w:tcBorders>
              <w:top w:val="single" w:color="auto" w:sz="4" w:space="0"/>
              <w:left w:val="single" w:color="auto" w:sz="4" w:space="0"/>
              <w:bottom w:val="single" w:color="auto" w:sz="4" w:space="0"/>
              <w:right w:val="single" w:color="auto" w:sz="4" w:space="0"/>
            </w:tcBorders>
            <w:vAlign w:val="center"/>
          </w:tcPr>
          <w:p w14:paraId="523C8223">
            <w:pPr>
              <w:snapToGrid/>
              <w:spacing w:line="240" w:lineRule="auto"/>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3分</w:t>
            </w:r>
          </w:p>
        </w:tc>
        <w:tc>
          <w:tcPr>
            <w:tcW w:w="7343" w:type="dxa"/>
            <w:tcBorders>
              <w:top w:val="single" w:color="auto" w:sz="4" w:space="0"/>
              <w:left w:val="single" w:color="auto" w:sz="4" w:space="0"/>
              <w:bottom w:val="single" w:color="auto" w:sz="4" w:space="0"/>
              <w:right w:val="single" w:color="auto" w:sz="4" w:space="0"/>
            </w:tcBorders>
            <w:vAlign w:val="center"/>
          </w:tcPr>
          <w:p w14:paraId="648439D8">
            <w:pPr>
              <w:pStyle w:val="16"/>
              <w:keepNext w:val="0"/>
              <w:keepLines w:val="0"/>
              <w:pageBreakBefore w:val="0"/>
              <w:kinsoku/>
              <w:wordWrap/>
              <w:overflowPunct/>
              <w:topLinePunct w:val="0"/>
              <w:autoSpaceDE/>
              <w:autoSpaceDN/>
              <w:bidi w:val="0"/>
              <w:snapToGrid/>
              <w:spacing w:line="300" w:lineRule="auto"/>
              <w:textAlignment w:val="auto"/>
              <w:rPr>
                <w:rStyle w:val="35"/>
                <w:rFonts w:hint="eastAsia" w:asciiTheme="majorEastAsia" w:hAnsiTheme="majorEastAsia" w:eastAsiaTheme="majorEastAsia" w:cstheme="majorEastAsia"/>
                <w:b w:val="0"/>
                <w:color w:val="000000" w:themeColor="text1"/>
                <w:szCs w:val="21"/>
                <w:highlight w:val="none"/>
                <w:lang w:eastAsia="zh-CN"/>
                <w14:textFill>
                  <w14:solidFill>
                    <w14:schemeClr w14:val="tx1"/>
                  </w14:solidFill>
                </w14:textFill>
              </w:rPr>
            </w:pPr>
            <w:r>
              <w:rPr>
                <w:rStyle w:val="35"/>
                <w:rFonts w:hint="eastAsia" w:asciiTheme="majorEastAsia" w:hAnsiTheme="majorEastAsia" w:eastAsiaTheme="majorEastAsia" w:cstheme="majorEastAsia"/>
                <w:b w:val="0"/>
                <w:color w:val="000000" w:themeColor="text1"/>
                <w:szCs w:val="21"/>
                <w:highlight w:val="none"/>
                <w:lang w:val="en-US" w:eastAsia="zh-CN"/>
                <w14:textFill>
                  <w14:solidFill>
                    <w14:schemeClr w14:val="tx1"/>
                  </w14:solidFill>
                </w14:textFill>
              </w:rPr>
              <w:t>投标人</w:t>
            </w:r>
            <w:r>
              <w:rPr>
                <w:rStyle w:val="35"/>
                <w:rFonts w:hint="eastAsia" w:asciiTheme="majorEastAsia" w:hAnsiTheme="majorEastAsia" w:eastAsiaTheme="majorEastAsia" w:cstheme="majorEastAsia"/>
                <w:b w:val="0"/>
                <w:color w:val="000000" w:themeColor="text1"/>
                <w:szCs w:val="21"/>
                <w:highlight w:val="none"/>
                <w14:textFill>
                  <w14:solidFill>
                    <w14:schemeClr w14:val="tx1"/>
                  </w14:solidFill>
                </w14:textFill>
              </w:rPr>
              <w:t>完全满足</w:t>
            </w:r>
            <w:r>
              <w:rPr>
                <w:rStyle w:val="35"/>
                <w:rFonts w:hint="eastAsia" w:asciiTheme="majorEastAsia" w:hAnsiTheme="majorEastAsia" w:eastAsiaTheme="majorEastAsia" w:cstheme="majorEastAsia"/>
                <w:b w:val="0"/>
                <w:color w:val="000000" w:themeColor="text1"/>
                <w:szCs w:val="21"/>
                <w:highlight w:val="none"/>
                <w:lang w:val="en-US" w:eastAsia="zh-CN"/>
                <w14:textFill>
                  <w14:solidFill>
                    <w14:schemeClr w14:val="tx1"/>
                  </w14:solidFill>
                </w14:textFill>
              </w:rPr>
              <w:t>用户</w:t>
            </w:r>
            <w:r>
              <w:rPr>
                <w:rStyle w:val="35"/>
                <w:rFonts w:hint="eastAsia" w:asciiTheme="majorEastAsia" w:hAnsiTheme="majorEastAsia" w:eastAsiaTheme="majorEastAsia" w:cstheme="majorEastAsia"/>
                <w:b w:val="0"/>
                <w:color w:val="000000" w:themeColor="text1"/>
                <w:szCs w:val="21"/>
                <w:highlight w:val="none"/>
                <w14:textFill>
                  <w14:solidFill>
                    <w14:schemeClr w14:val="tx1"/>
                  </w14:solidFill>
                </w14:textFill>
              </w:rPr>
              <w:t>需求书服务周期</w:t>
            </w:r>
            <w:r>
              <w:rPr>
                <w:rStyle w:val="35"/>
                <w:rFonts w:hint="eastAsia" w:asciiTheme="majorEastAsia" w:hAnsiTheme="majorEastAsia" w:eastAsiaTheme="majorEastAsia" w:cstheme="majorEastAsia"/>
                <w:b w:val="0"/>
                <w:color w:val="000000" w:themeColor="text1"/>
                <w:szCs w:val="21"/>
                <w:highlight w:val="none"/>
                <w:lang w:val="en-US" w:eastAsia="zh-CN"/>
                <w14:textFill>
                  <w14:solidFill>
                    <w14:schemeClr w14:val="tx1"/>
                  </w14:solidFill>
                </w14:textFill>
              </w:rPr>
              <w:t>基本</w:t>
            </w:r>
            <w:r>
              <w:rPr>
                <w:rStyle w:val="35"/>
                <w:rFonts w:hint="eastAsia" w:asciiTheme="majorEastAsia" w:hAnsiTheme="majorEastAsia" w:eastAsiaTheme="majorEastAsia" w:cstheme="majorEastAsia"/>
                <w:b w:val="0"/>
                <w:color w:val="000000" w:themeColor="text1"/>
                <w:szCs w:val="21"/>
                <w:highlight w:val="none"/>
                <w14:textFill>
                  <w14:solidFill>
                    <w14:schemeClr w14:val="tx1"/>
                  </w14:solidFill>
                </w14:textFill>
              </w:rPr>
              <w:t>要求（环境影响评价服务期</w:t>
            </w:r>
            <w:r>
              <w:rPr>
                <w:rStyle w:val="35"/>
                <w:rFonts w:hint="eastAsia" w:asciiTheme="majorEastAsia" w:hAnsiTheme="majorEastAsia" w:eastAsiaTheme="majorEastAsia" w:cstheme="majorEastAsia"/>
                <w:b w:val="0"/>
                <w:color w:val="000000" w:themeColor="text1"/>
                <w:szCs w:val="21"/>
                <w:highlight w:val="none"/>
                <w:lang w:val="en-US" w:eastAsia="zh-CN"/>
                <w14:textFill>
                  <w14:solidFill>
                    <w14:schemeClr w14:val="tx1"/>
                  </w14:solidFill>
                </w14:textFill>
              </w:rPr>
              <w:t>210个日历日</w:t>
            </w:r>
            <w:r>
              <w:rPr>
                <w:rStyle w:val="35"/>
                <w:rFonts w:hint="eastAsia" w:asciiTheme="majorEastAsia" w:hAnsiTheme="majorEastAsia" w:eastAsiaTheme="majorEastAsia" w:cstheme="majorEastAsia"/>
                <w:b w:val="0"/>
                <w:color w:val="000000" w:themeColor="text1"/>
                <w:szCs w:val="21"/>
                <w:highlight w:val="none"/>
                <w14:textFill>
                  <w14:solidFill>
                    <w14:schemeClr w14:val="tx1"/>
                  </w14:solidFill>
                </w14:textFill>
              </w:rPr>
              <w:t>、竣工环境保护验收服务期</w:t>
            </w:r>
            <w:r>
              <w:rPr>
                <w:rStyle w:val="35"/>
                <w:rFonts w:hint="eastAsia" w:asciiTheme="majorEastAsia" w:hAnsiTheme="majorEastAsia" w:eastAsiaTheme="majorEastAsia" w:cstheme="majorEastAsia"/>
                <w:b w:val="0"/>
                <w:color w:val="000000" w:themeColor="text1"/>
                <w:szCs w:val="21"/>
                <w:highlight w:val="none"/>
                <w:lang w:val="en-US" w:eastAsia="zh-CN"/>
                <w14:textFill>
                  <w14:solidFill>
                    <w14:schemeClr w14:val="tx1"/>
                  </w14:solidFill>
                </w14:textFill>
              </w:rPr>
              <w:t>90个日历日</w:t>
            </w:r>
            <w:r>
              <w:rPr>
                <w:rStyle w:val="35"/>
                <w:rFonts w:hint="eastAsia" w:asciiTheme="majorEastAsia" w:hAnsiTheme="majorEastAsia" w:eastAsiaTheme="majorEastAsia" w:cstheme="majorEastAsia"/>
                <w:b w:val="0"/>
                <w:color w:val="000000" w:themeColor="text1"/>
                <w:szCs w:val="21"/>
                <w:highlight w:val="none"/>
                <w14:textFill>
                  <w14:solidFill>
                    <w14:schemeClr w14:val="tx1"/>
                  </w14:solidFill>
                </w14:textFill>
              </w:rPr>
              <w:t>）。在此基础上</w:t>
            </w:r>
            <w:r>
              <w:rPr>
                <w:rStyle w:val="35"/>
                <w:rFonts w:hint="eastAsia" w:asciiTheme="majorEastAsia" w:hAnsiTheme="majorEastAsia" w:eastAsiaTheme="majorEastAsia" w:cstheme="majorEastAsia"/>
                <w:b w:val="0"/>
                <w:color w:val="000000" w:themeColor="text1"/>
                <w:szCs w:val="21"/>
                <w:highlight w:val="none"/>
                <w:lang w:eastAsia="zh-CN"/>
                <w14:textFill>
                  <w14:solidFill>
                    <w14:schemeClr w14:val="tx1"/>
                  </w14:solidFill>
                </w14:textFill>
              </w:rPr>
              <w:t>：</w:t>
            </w:r>
          </w:p>
          <w:p w14:paraId="62145F82">
            <w:pPr>
              <w:pStyle w:val="16"/>
              <w:keepNext w:val="0"/>
              <w:keepLines w:val="0"/>
              <w:pageBreakBefore w:val="0"/>
              <w:kinsoku/>
              <w:wordWrap/>
              <w:overflowPunct/>
              <w:topLinePunct w:val="0"/>
              <w:autoSpaceDE/>
              <w:autoSpaceDN/>
              <w:bidi w:val="0"/>
              <w:snapToGrid/>
              <w:spacing w:line="300" w:lineRule="auto"/>
              <w:textAlignment w:val="auto"/>
              <w:rPr>
                <w:rStyle w:val="35"/>
                <w:rFonts w:hint="eastAsia" w:asciiTheme="majorEastAsia" w:hAnsiTheme="majorEastAsia" w:eastAsiaTheme="majorEastAsia" w:cstheme="majorEastAsia"/>
                <w:b w:val="0"/>
                <w:color w:val="000000" w:themeColor="text1"/>
                <w:szCs w:val="21"/>
                <w:highlight w:val="none"/>
                <w:lang w:eastAsia="zh-CN"/>
                <w14:textFill>
                  <w14:solidFill>
                    <w14:schemeClr w14:val="tx1"/>
                  </w14:solidFill>
                </w14:textFill>
              </w:rPr>
            </w:pPr>
            <w:r>
              <w:rPr>
                <w:rStyle w:val="35"/>
                <w:rFonts w:hint="eastAsia" w:asciiTheme="majorEastAsia" w:hAnsiTheme="majorEastAsia" w:eastAsiaTheme="majorEastAsia" w:cstheme="majorEastAsia"/>
                <w:b w:val="0"/>
                <w:color w:val="000000" w:themeColor="text1"/>
                <w:szCs w:val="21"/>
                <w:highlight w:val="none"/>
                <w:lang w:val="en-US" w:eastAsia="zh-CN"/>
                <w14:textFill>
                  <w14:solidFill>
                    <w14:schemeClr w14:val="tx1"/>
                  </w14:solidFill>
                </w14:textFill>
              </w:rPr>
              <w:t>1、</w:t>
            </w:r>
            <w:r>
              <w:rPr>
                <w:rStyle w:val="35"/>
                <w:rFonts w:hint="eastAsia" w:asciiTheme="majorEastAsia" w:hAnsiTheme="majorEastAsia" w:eastAsiaTheme="majorEastAsia" w:cstheme="majorEastAsia"/>
                <w:b w:val="0"/>
                <w:color w:val="000000" w:themeColor="text1"/>
                <w:szCs w:val="21"/>
                <w:highlight w:val="none"/>
                <w14:textFill>
                  <w14:solidFill>
                    <w14:schemeClr w14:val="tx1"/>
                  </w14:solidFill>
                </w14:textFill>
              </w:rPr>
              <w:t>环境影响评价服务期</w:t>
            </w:r>
            <w:r>
              <w:rPr>
                <w:rStyle w:val="35"/>
                <w:rFonts w:hint="eastAsia" w:asciiTheme="majorEastAsia" w:hAnsiTheme="majorEastAsia" w:eastAsiaTheme="majorEastAsia" w:cstheme="majorEastAsia"/>
                <w:b w:val="0"/>
                <w:color w:val="000000" w:themeColor="text1"/>
                <w:szCs w:val="21"/>
                <w:highlight w:val="none"/>
                <w:lang w:val="en-US" w:eastAsia="zh-CN"/>
                <w14:textFill>
                  <w14:solidFill>
                    <w14:schemeClr w14:val="tx1"/>
                  </w14:solidFill>
                </w14:textFill>
              </w:rPr>
              <w:t>每</w:t>
            </w:r>
            <w:r>
              <w:rPr>
                <w:rStyle w:val="35"/>
                <w:rFonts w:hint="eastAsia" w:asciiTheme="majorEastAsia" w:hAnsiTheme="majorEastAsia" w:eastAsiaTheme="majorEastAsia" w:cstheme="majorEastAsia"/>
                <w:b w:val="0"/>
                <w:color w:val="000000" w:themeColor="text1"/>
                <w:szCs w:val="21"/>
                <w:highlight w:val="none"/>
                <w14:textFill>
                  <w14:solidFill>
                    <w14:schemeClr w14:val="tx1"/>
                  </w14:solidFill>
                </w14:textFill>
              </w:rPr>
              <w:t>缩短</w:t>
            </w:r>
            <w:r>
              <w:rPr>
                <w:rStyle w:val="35"/>
                <w:rFonts w:hint="eastAsia" w:asciiTheme="majorEastAsia" w:hAnsiTheme="majorEastAsia" w:eastAsiaTheme="majorEastAsia" w:cstheme="majorEastAsia"/>
                <w:b w:val="0"/>
                <w:color w:val="000000" w:themeColor="text1"/>
                <w:szCs w:val="21"/>
                <w:highlight w:val="none"/>
                <w:lang w:val="en-US" w:eastAsia="zh-CN"/>
                <w14:textFill>
                  <w14:solidFill>
                    <w14:schemeClr w14:val="tx1"/>
                  </w14:solidFill>
                </w14:textFill>
              </w:rPr>
              <w:t>7个日历日的</w:t>
            </w:r>
            <w:r>
              <w:rPr>
                <w:rStyle w:val="35"/>
                <w:rFonts w:hint="eastAsia" w:asciiTheme="majorEastAsia" w:hAnsiTheme="majorEastAsia" w:eastAsiaTheme="majorEastAsia" w:cstheme="majorEastAsia"/>
                <w:b w:val="0"/>
                <w:color w:val="000000" w:themeColor="text1"/>
                <w:szCs w:val="21"/>
                <w:highlight w:val="none"/>
                <w14:textFill>
                  <w14:solidFill>
                    <w14:schemeClr w14:val="tx1"/>
                  </w14:solidFill>
                </w14:textFill>
              </w:rPr>
              <w:t>，</w:t>
            </w:r>
            <w:r>
              <w:rPr>
                <w:rStyle w:val="35"/>
                <w:rFonts w:hint="eastAsia" w:asciiTheme="majorEastAsia" w:hAnsiTheme="majorEastAsia" w:eastAsiaTheme="majorEastAsia" w:cstheme="majorEastAsia"/>
                <w:b w:val="0"/>
                <w:color w:val="000000" w:themeColor="text1"/>
                <w:szCs w:val="21"/>
                <w:highlight w:val="none"/>
                <w:lang w:val="en-US" w:eastAsia="zh-CN"/>
                <w14:textFill>
                  <w14:solidFill>
                    <w14:schemeClr w14:val="tx1"/>
                  </w14:solidFill>
                </w14:textFill>
              </w:rPr>
              <w:t>得1</w:t>
            </w:r>
            <w:r>
              <w:rPr>
                <w:rStyle w:val="35"/>
                <w:rFonts w:hint="eastAsia" w:asciiTheme="majorEastAsia" w:hAnsiTheme="majorEastAsia" w:eastAsiaTheme="majorEastAsia" w:cstheme="majorEastAsia"/>
                <w:b w:val="0"/>
                <w:color w:val="000000" w:themeColor="text1"/>
                <w:szCs w:val="21"/>
                <w:highlight w:val="none"/>
                <w14:textFill>
                  <w14:solidFill>
                    <w14:schemeClr w14:val="tx1"/>
                  </w14:solidFill>
                </w14:textFill>
              </w:rPr>
              <w:t>分，本项最高得</w:t>
            </w:r>
            <w:r>
              <w:rPr>
                <w:rStyle w:val="35"/>
                <w:rFonts w:hint="eastAsia" w:asciiTheme="majorEastAsia" w:hAnsiTheme="majorEastAsia" w:eastAsiaTheme="majorEastAsia" w:cstheme="majorEastAsia"/>
                <w:b w:val="0"/>
                <w:color w:val="000000" w:themeColor="text1"/>
                <w:szCs w:val="21"/>
                <w:highlight w:val="none"/>
                <w:lang w:val="en-US" w:eastAsia="zh-CN"/>
                <w14:textFill>
                  <w14:solidFill>
                    <w14:schemeClr w14:val="tx1"/>
                  </w14:solidFill>
                </w14:textFill>
              </w:rPr>
              <w:t>2</w:t>
            </w:r>
            <w:r>
              <w:rPr>
                <w:rStyle w:val="35"/>
                <w:rFonts w:hint="eastAsia" w:asciiTheme="majorEastAsia" w:hAnsiTheme="majorEastAsia" w:eastAsiaTheme="majorEastAsia" w:cstheme="majorEastAsia"/>
                <w:b w:val="0"/>
                <w:color w:val="000000" w:themeColor="text1"/>
                <w:szCs w:val="21"/>
                <w:highlight w:val="none"/>
                <w14:textFill>
                  <w14:solidFill>
                    <w14:schemeClr w14:val="tx1"/>
                  </w14:solidFill>
                </w14:textFill>
              </w:rPr>
              <w:t>分</w:t>
            </w:r>
            <w:r>
              <w:rPr>
                <w:rStyle w:val="35"/>
                <w:rFonts w:hint="eastAsia" w:asciiTheme="majorEastAsia" w:hAnsiTheme="majorEastAsia" w:eastAsiaTheme="majorEastAsia" w:cstheme="majorEastAsia"/>
                <w:b w:val="0"/>
                <w:color w:val="000000" w:themeColor="text1"/>
                <w:szCs w:val="21"/>
                <w:highlight w:val="none"/>
                <w:lang w:eastAsia="zh-CN"/>
                <w14:textFill>
                  <w14:solidFill>
                    <w14:schemeClr w14:val="tx1"/>
                  </w14:solidFill>
                </w14:textFill>
              </w:rPr>
              <w:t>；</w:t>
            </w:r>
          </w:p>
          <w:p w14:paraId="79D3E393">
            <w:pPr>
              <w:pStyle w:val="16"/>
              <w:keepNext w:val="0"/>
              <w:keepLines w:val="0"/>
              <w:pageBreakBefore w:val="0"/>
              <w:kinsoku/>
              <w:wordWrap/>
              <w:overflowPunct/>
              <w:topLinePunct w:val="0"/>
              <w:autoSpaceDE/>
              <w:autoSpaceDN/>
              <w:bidi w:val="0"/>
              <w:snapToGrid/>
              <w:spacing w:line="300" w:lineRule="auto"/>
              <w:textAlignment w:val="auto"/>
              <w:rPr>
                <w:rStyle w:val="35"/>
                <w:rFonts w:hint="eastAsia" w:asciiTheme="majorEastAsia" w:hAnsiTheme="majorEastAsia" w:eastAsiaTheme="majorEastAsia" w:cstheme="majorEastAsia"/>
                <w:b w:val="0"/>
                <w:color w:val="000000" w:themeColor="text1"/>
                <w:sz w:val="21"/>
                <w:szCs w:val="21"/>
                <w:highlight w:val="none"/>
                <w14:textFill>
                  <w14:solidFill>
                    <w14:schemeClr w14:val="tx1"/>
                  </w14:solidFill>
                </w14:textFill>
              </w:rPr>
            </w:pPr>
            <w:r>
              <w:rPr>
                <w:rStyle w:val="35"/>
                <w:rFonts w:hint="eastAsia" w:asciiTheme="majorEastAsia" w:hAnsiTheme="majorEastAsia" w:eastAsiaTheme="majorEastAsia" w:cstheme="majorEastAsia"/>
                <w:b w:val="0"/>
                <w:color w:val="000000" w:themeColor="text1"/>
                <w:szCs w:val="21"/>
                <w:highlight w:val="none"/>
                <w:lang w:val="en-US" w:eastAsia="zh-CN"/>
                <w14:textFill>
                  <w14:solidFill>
                    <w14:schemeClr w14:val="tx1"/>
                  </w14:solidFill>
                </w14:textFill>
              </w:rPr>
              <w:t>2、</w:t>
            </w:r>
            <w:r>
              <w:rPr>
                <w:rStyle w:val="35"/>
                <w:rFonts w:hint="eastAsia" w:asciiTheme="majorEastAsia" w:hAnsiTheme="majorEastAsia" w:eastAsiaTheme="majorEastAsia" w:cstheme="majorEastAsia"/>
                <w:b w:val="0"/>
                <w:color w:val="000000" w:themeColor="text1"/>
                <w:szCs w:val="21"/>
                <w:highlight w:val="none"/>
                <w14:textFill>
                  <w14:solidFill>
                    <w14:schemeClr w14:val="tx1"/>
                  </w14:solidFill>
                </w14:textFill>
              </w:rPr>
              <w:t>竣工环境保护验收服务期</w:t>
            </w:r>
            <w:r>
              <w:rPr>
                <w:rStyle w:val="35"/>
                <w:rFonts w:hint="eastAsia" w:asciiTheme="majorEastAsia" w:hAnsiTheme="majorEastAsia" w:eastAsiaTheme="majorEastAsia" w:cstheme="majorEastAsia"/>
                <w:b w:val="0"/>
                <w:color w:val="000000" w:themeColor="text1"/>
                <w:szCs w:val="21"/>
                <w:highlight w:val="none"/>
                <w:lang w:val="en-US" w:eastAsia="zh-CN"/>
                <w14:textFill>
                  <w14:solidFill>
                    <w14:schemeClr w14:val="tx1"/>
                  </w14:solidFill>
                </w14:textFill>
              </w:rPr>
              <w:t>每</w:t>
            </w:r>
            <w:r>
              <w:rPr>
                <w:rStyle w:val="35"/>
                <w:rFonts w:hint="eastAsia" w:asciiTheme="majorEastAsia" w:hAnsiTheme="majorEastAsia" w:eastAsiaTheme="majorEastAsia" w:cstheme="majorEastAsia"/>
                <w:b w:val="0"/>
                <w:color w:val="000000" w:themeColor="text1"/>
                <w:szCs w:val="21"/>
                <w:highlight w:val="none"/>
                <w14:textFill>
                  <w14:solidFill>
                    <w14:schemeClr w14:val="tx1"/>
                  </w14:solidFill>
                </w14:textFill>
              </w:rPr>
              <w:t>缩短</w:t>
            </w:r>
            <w:r>
              <w:rPr>
                <w:rStyle w:val="35"/>
                <w:rFonts w:hint="eastAsia" w:asciiTheme="majorEastAsia" w:hAnsiTheme="majorEastAsia" w:eastAsiaTheme="majorEastAsia" w:cstheme="majorEastAsia"/>
                <w:b w:val="0"/>
                <w:color w:val="000000" w:themeColor="text1"/>
                <w:szCs w:val="21"/>
                <w:highlight w:val="none"/>
                <w:lang w:val="en-US" w:eastAsia="zh-CN"/>
                <w14:textFill>
                  <w14:solidFill>
                    <w14:schemeClr w14:val="tx1"/>
                  </w14:solidFill>
                </w14:textFill>
              </w:rPr>
              <w:t>7个日历日的</w:t>
            </w:r>
            <w:r>
              <w:rPr>
                <w:rStyle w:val="35"/>
                <w:rFonts w:hint="eastAsia" w:asciiTheme="majorEastAsia" w:hAnsiTheme="majorEastAsia" w:eastAsiaTheme="majorEastAsia" w:cstheme="majorEastAsia"/>
                <w:b w:val="0"/>
                <w:color w:val="000000" w:themeColor="text1"/>
                <w:szCs w:val="21"/>
                <w:highlight w:val="none"/>
                <w14:textFill>
                  <w14:solidFill>
                    <w14:schemeClr w14:val="tx1"/>
                  </w14:solidFill>
                </w14:textFill>
              </w:rPr>
              <w:t>，</w:t>
            </w:r>
            <w:r>
              <w:rPr>
                <w:rStyle w:val="35"/>
                <w:rFonts w:hint="eastAsia" w:asciiTheme="majorEastAsia" w:hAnsiTheme="majorEastAsia" w:eastAsiaTheme="majorEastAsia" w:cstheme="majorEastAsia"/>
                <w:b w:val="0"/>
                <w:color w:val="000000" w:themeColor="text1"/>
                <w:szCs w:val="21"/>
                <w:highlight w:val="none"/>
                <w:lang w:val="en-US" w:eastAsia="zh-CN"/>
                <w14:textFill>
                  <w14:solidFill>
                    <w14:schemeClr w14:val="tx1"/>
                  </w14:solidFill>
                </w14:textFill>
              </w:rPr>
              <w:t>得1</w:t>
            </w:r>
            <w:r>
              <w:rPr>
                <w:rStyle w:val="35"/>
                <w:rFonts w:hint="eastAsia" w:asciiTheme="majorEastAsia" w:hAnsiTheme="majorEastAsia" w:eastAsiaTheme="majorEastAsia" w:cstheme="majorEastAsia"/>
                <w:b w:val="0"/>
                <w:color w:val="000000" w:themeColor="text1"/>
                <w:szCs w:val="21"/>
                <w:highlight w:val="none"/>
                <w14:textFill>
                  <w14:solidFill>
                    <w14:schemeClr w14:val="tx1"/>
                  </w14:solidFill>
                </w14:textFill>
              </w:rPr>
              <w:t>分，本项最高得</w:t>
            </w:r>
            <w:r>
              <w:rPr>
                <w:rStyle w:val="35"/>
                <w:rFonts w:hint="eastAsia" w:asciiTheme="majorEastAsia" w:hAnsiTheme="majorEastAsia" w:eastAsiaTheme="majorEastAsia" w:cstheme="majorEastAsia"/>
                <w:b w:val="0"/>
                <w:color w:val="000000" w:themeColor="text1"/>
                <w:szCs w:val="21"/>
                <w:highlight w:val="none"/>
                <w:lang w:val="en-US" w:eastAsia="zh-CN"/>
                <w14:textFill>
                  <w14:solidFill>
                    <w14:schemeClr w14:val="tx1"/>
                  </w14:solidFill>
                </w14:textFill>
              </w:rPr>
              <w:t>1分。</w:t>
            </w:r>
          </w:p>
          <w:p w14:paraId="1747158F">
            <w:pPr>
              <w:keepNext w:val="0"/>
              <w:keepLines w:val="0"/>
              <w:pageBreakBefore w:val="0"/>
              <w:widowControl/>
              <w:kinsoku/>
              <w:wordWrap/>
              <w:overflowPunct/>
              <w:topLinePunct w:val="0"/>
              <w:autoSpaceDE/>
              <w:autoSpaceDN/>
              <w:bidi w:val="0"/>
              <w:adjustRightInd w:val="0"/>
              <w:snapToGrid/>
              <w:spacing w:line="300" w:lineRule="auto"/>
              <w:ind w:firstLine="0" w:firstLineChars="0"/>
              <w:textAlignment w:val="auto"/>
              <w:rPr>
                <w:rStyle w:val="35"/>
                <w:rFonts w:hint="default" w:asciiTheme="minorEastAsia" w:hAnsiTheme="minorEastAsia" w:eastAsiaTheme="minorEastAsia" w:cstheme="minorEastAsia"/>
                <w:b/>
                <w:bCs w:val="0"/>
                <w:color w:val="000000" w:themeColor="text1"/>
                <w:szCs w:val="21"/>
                <w:highlight w:val="none"/>
                <w:lang w:val="en-US" w:eastAsia="zh-CN"/>
                <w14:textFill>
                  <w14:solidFill>
                    <w14:schemeClr w14:val="tx1"/>
                  </w14:solidFill>
                </w14:textFill>
              </w:rPr>
            </w:pPr>
            <w:r>
              <w:rPr>
                <w:rStyle w:val="35"/>
                <w:rFonts w:hint="eastAsia" w:asciiTheme="majorEastAsia" w:hAnsiTheme="majorEastAsia" w:eastAsiaTheme="majorEastAsia" w:cstheme="majorEastAsia"/>
                <w:b/>
                <w:bCs w:val="0"/>
                <w:color w:val="000000" w:themeColor="text1"/>
                <w:szCs w:val="21"/>
                <w:highlight w:val="none"/>
                <w14:textFill>
                  <w14:solidFill>
                    <w14:schemeClr w14:val="tx1"/>
                  </w14:solidFill>
                </w14:textFill>
              </w:rPr>
              <w:t>注：</w:t>
            </w:r>
            <w:r>
              <w:rPr>
                <w:rStyle w:val="35"/>
                <w:rFonts w:hint="eastAsia" w:asciiTheme="majorEastAsia" w:hAnsiTheme="majorEastAsia" w:eastAsiaTheme="majorEastAsia" w:cstheme="majorEastAsia"/>
                <w:b/>
                <w:bCs w:val="0"/>
                <w:color w:val="000000" w:themeColor="text1"/>
                <w:szCs w:val="21"/>
                <w:highlight w:val="none"/>
                <w:lang w:val="en-US" w:eastAsia="zh-CN"/>
                <w14:textFill>
                  <w14:solidFill>
                    <w14:schemeClr w14:val="tx1"/>
                  </w14:solidFill>
                </w14:textFill>
              </w:rPr>
              <w:t>以投标人提交的价格文件 开标一览表“服务周期”内容进行评审。</w:t>
            </w:r>
          </w:p>
        </w:tc>
      </w:tr>
      <w:tr w14:paraId="0A48E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567"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14:paraId="153A04A4">
            <w:pPr>
              <w:pStyle w:val="48"/>
              <w:keepNext w:val="0"/>
              <w:keepLines w:val="0"/>
              <w:pageBreakBefore w:val="0"/>
              <w:kinsoku/>
              <w:wordWrap/>
              <w:overflowPunct/>
              <w:topLinePunct w:val="0"/>
              <w:autoSpaceDE/>
              <w:autoSpaceDN/>
              <w:bidi w:val="0"/>
              <w:adjustRightInd w:val="0"/>
              <w:snapToGrid/>
              <w:spacing w:line="240" w:lineRule="auto"/>
              <w:ind w:firstLine="0" w:firstLineChars="0"/>
              <w:jc w:val="center"/>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5</w:t>
            </w:r>
          </w:p>
        </w:tc>
        <w:tc>
          <w:tcPr>
            <w:tcW w:w="1096" w:type="dxa"/>
            <w:tcBorders>
              <w:top w:val="single" w:color="auto" w:sz="4" w:space="0"/>
              <w:left w:val="single" w:color="auto" w:sz="4" w:space="0"/>
              <w:bottom w:val="single" w:color="auto" w:sz="4" w:space="0"/>
              <w:right w:val="single" w:color="auto" w:sz="4" w:space="0"/>
            </w:tcBorders>
            <w:vAlign w:val="center"/>
          </w:tcPr>
          <w:p w14:paraId="4BD2911A">
            <w:pPr>
              <w:snapToGrid/>
              <w:spacing w:line="240" w:lineRule="auto"/>
              <w:jc w:val="center"/>
              <w:rPr>
                <w:rFonts w:hint="eastAsia" w:asciiTheme="minorEastAsia" w:hAnsiTheme="minorEastAsia" w:eastAsiaTheme="minorEastAsia" w:cstheme="minorEastAsia"/>
                <w:b w:val="0"/>
                <w:bCs w:val="0"/>
                <w:sz w:val="21"/>
                <w:szCs w:val="21"/>
                <w:highlight w:val="none"/>
              </w:rPr>
            </w:pPr>
            <w:r>
              <w:rPr>
                <w:rStyle w:val="35"/>
                <w:rFonts w:hint="default" w:hAnsi="宋体" w:eastAsia="宋体" w:cs="Segoe UI"/>
                <w:b w:val="0"/>
                <w:color w:val="000000" w:themeColor="text1"/>
                <w:szCs w:val="21"/>
                <w:highlight w:val="none"/>
                <w:lang w:val="en-US" w:eastAsia="zh-CN"/>
                <w14:textFill>
                  <w14:solidFill>
                    <w14:schemeClr w14:val="tx1"/>
                  </w14:solidFill>
                </w14:textFill>
              </w:rPr>
              <w:t>人员要求</w:t>
            </w:r>
          </w:p>
        </w:tc>
        <w:tc>
          <w:tcPr>
            <w:tcW w:w="766" w:type="dxa"/>
            <w:tcBorders>
              <w:top w:val="single" w:color="auto" w:sz="4" w:space="0"/>
              <w:left w:val="single" w:color="auto" w:sz="4" w:space="0"/>
              <w:bottom w:val="single" w:color="auto" w:sz="4" w:space="0"/>
              <w:right w:val="single" w:color="auto" w:sz="4" w:space="0"/>
            </w:tcBorders>
            <w:vAlign w:val="center"/>
          </w:tcPr>
          <w:p w14:paraId="7AFCAEBE">
            <w:pPr>
              <w:snapToGrid/>
              <w:spacing w:line="240" w:lineRule="auto"/>
              <w:jc w:val="center"/>
              <w:rPr>
                <w:rFonts w:hint="default"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3分</w:t>
            </w:r>
          </w:p>
        </w:tc>
        <w:tc>
          <w:tcPr>
            <w:tcW w:w="7343" w:type="dxa"/>
            <w:tcBorders>
              <w:top w:val="single" w:color="auto" w:sz="4" w:space="0"/>
              <w:left w:val="single" w:color="auto" w:sz="4" w:space="0"/>
              <w:bottom w:val="single" w:color="auto" w:sz="4" w:space="0"/>
              <w:right w:val="single" w:color="auto" w:sz="4" w:space="0"/>
            </w:tcBorders>
            <w:vAlign w:val="center"/>
          </w:tcPr>
          <w:p w14:paraId="64375B92">
            <w:pPr>
              <w:pageBreakBefore w:val="0"/>
              <w:widowControl w:val="0"/>
              <w:kinsoku/>
              <w:wordWrap/>
              <w:overflowPunct/>
              <w:topLinePunct w:val="0"/>
              <w:autoSpaceDE/>
              <w:autoSpaceDN/>
              <w:bidi w:val="0"/>
              <w:adjustRightInd/>
              <w:snapToGrid/>
              <w:spacing w:before="0" w:after="0" w:line="300" w:lineRule="auto"/>
              <w:jc w:val="left"/>
              <w:textAlignment w:val="auto"/>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拟投入项目的技术人员(环评报告书编制主持人除外)：</w:t>
            </w:r>
          </w:p>
          <w:p w14:paraId="18A6A9B1">
            <w:pPr>
              <w:pStyle w:val="16"/>
              <w:spacing w:line="300" w:lineRule="auto"/>
              <w:rPr>
                <w:rStyle w:val="35"/>
                <w:rFonts w:asciiTheme="majorEastAsia" w:hAnsiTheme="majorEastAsia" w:eastAsiaTheme="majorEastAsia" w:cstheme="majorEastAsia"/>
                <w:b w:val="0"/>
                <w:bCs w:val="0"/>
                <w:color w:val="000000" w:themeColor="text1"/>
                <w:szCs w:val="21"/>
                <w14:textFill>
                  <w14:solidFill>
                    <w14:schemeClr w14:val="tx1"/>
                  </w14:solidFill>
                </w14:textFill>
              </w:rPr>
            </w:pPr>
            <w:r>
              <w:rPr>
                <w:rStyle w:val="35"/>
                <w:rFonts w:asciiTheme="majorEastAsia" w:hAnsiTheme="majorEastAsia" w:eastAsiaTheme="majorEastAsia" w:cstheme="majorEastAsia"/>
                <w:b w:val="0"/>
                <w:bCs w:val="0"/>
                <w:color w:val="000000" w:themeColor="text1"/>
                <w:szCs w:val="21"/>
                <w14:textFill>
                  <w14:solidFill>
                    <w14:schemeClr w14:val="tx1"/>
                  </w14:solidFill>
                </w14:textFill>
              </w:rPr>
              <w:t>1、具有</w:t>
            </w:r>
            <w:r>
              <w:rPr>
                <w:rStyle w:val="35"/>
                <w:rFonts w:hint="eastAsia" w:asciiTheme="majorEastAsia" w:hAnsiTheme="majorEastAsia" w:eastAsiaTheme="majorEastAsia" w:cstheme="majorEastAsia"/>
                <w:b w:val="0"/>
                <w:bCs w:val="0"/>
                <w:color w:val="000000" w:themeColor="text1"/>
                <w:szCs w:val="21"/>
                <w:lang w:val="en-US" w:eastAsia="zh-CN"/>
                <w14:textFill>
                  <w14:solidFill>
                    <w14:schemeClr w14:val="tx1"/>
                  </w14:solidFill>
                </w14:textFill>
              </w:rPr>
              <w:t>生态环境</w:t>
            </w:r>
            <w:r>
              <w:rPr>
                <w:rStyle w:val="35"/>
                <w:rFonts w:asciiTheme="majorEastAsia" w:hAnsiTheme="majorEastAsia" w:eastAsiaTheme="majorEastAsia" w:cstheme="majorEastAsia"/>
                <w:b w:val="0"/>
                <w:bCs w:val="0"/>
                <w:color w:val="000000" w:themeColor="text1"/>
                <w:szCs w:val="21"/>
                <w14:textFill>
                  <w14:solidFill>
                    <w14:schemeClr w14:val="tx1"/>
                  </w14:solidFill>
                </w14:textFill>
              </w:rPr>
              <w:t>专业的高级职称证书的，每提供1人得2分；</w:t>
            </w:r>
          </w:p>
          <w:p w14:paraId="5933F486">
            <w:pPr>
              <w:pStyle w:val="16"/>
              <w:spacing w:line="300" w:lineRule="auto"/>
              <w:rPr>
                <w:rStyle w:val="35"/>
                <w:rFonts w:hint="eastAsia" w:asciiTheme="majorEastAsia" w:hAnsiTheme="majorEastAsia" w:eastAsiaTheme="majorEastAsia" w:cstheme="majorEastAsia"/>
                <w:b w:val="0"/>
                <w:bCs w:val="0"/>
                <w:color w:val="000000" w:themeColor="text1"/>
                <w:szCs w:val="21"/>
                <w14:textFill>
                  <w14:solidFill>
                    <w14:schemeClr w14:val="tx1"/>
                  </w14:solidFill>
                </w14:textFill>
              </w:rPr>
            </w:pPr>
            <w:r>
              <w:rPr>
                <w:rStyle w:val="35"/>
                <w:rFonts w:asciiTheme="majorEastAsia" w:hAnsiTheme="majorEastAsia" w:eastAsiaTheme="majorEastAsia" w:cstheme="majorEastAsia"/>
                <w:b w:val="0"/>
                <w:bCs w:val="0"/>
                <w:color w:val="000000" w:themeColor="text1"/>
                <w:szCs w:val="21"/>
                <w14:textFill>
                  <w14:solidFill>
                    <w14:schemeClr w14:val="tx1"/>
                  </w14:solidFill>
                </w14:textFill>
              </w:rPr>
              <w:t>2、具有</w:t>
            </w:r>
            <w:r>
              <w:rPr>
                <w:rStyle w:val="35"/>
                <w:rFonts w:hint="eastAsia" w:asciiTheme="majorEastAsia" w:hAnsiTheme="majorEastAsia" w:eastAsiaTheme="majorEastAsia" w:cstheme="majorEastAsia"/>
                <w:b w:val="0"/>
                <w:bCs w:val="0"/>
                <w:color w:val="000000" w:themeColor="text1"/>
                <w:szCs w:val="21"/>
                <w:lang w:val="en-US" w:eastAsia="zh-CN"/>
                <w14:textFill>
                  <w14:solidFill>
                    <w14:schemeClr w14:val="tx1"/>
                  </w14:solidFill>
                </w14:textFill>
              </w:rPr>
              <w:t>生态环境</w:t>
            </w:r>
            <w:r>
              <w:rPr>
                <w:rStyle w:val="35"/>
                <w:rFonts w:asciiTheme="majorEastAsia" w:hAnsiTheme="majorEastAsia" w:eastAsiaTheme="majorEastAsia" w:cstheme="majorEastAsia"/>
                <w:b w:val="0"/>
                <w:bCs w:val="0"/>
                <w:color w:val="000000" w:themeColor="text1"/>
                <w:szCs w:val="21"/>
                <w14:textFill>
                  <w14:solidFill>
                    <w14:schemeClr w14:val="tx1"/>
                  </w14:solidFill>
                </w14:textFill>
              </w:rPr>
              <w:t>专业的中级职称证书的，每提供1人得1分；</w:t>
            </w:r>
          </w:p>
          <w:p w14:paraId="4CA599EC">
            <w:pPr>
              <w:pStyle w:val="16"/>
              <w:spacing w:line="300" w:lineRule="auto"/>
              <w:rPr>
                <w:rStyle w:val="35"/>
                <w:rFonts w:asciiTheme="majorEastAsia" w:hAnsiTheme="majorEastAsia" w:eastAsiaTheme="majorEastAsia" w:cstheme="majorEastAsia"/>
                <w:b w:val="0"/>
                <w:bCs w:val="0"/>
                <w:color w:val="000000" w:themeColor="text1"/>
                <w:szCs w:val="21"/>
                <w14:textFill>
                  <w14:solidFill>
                    <w14:schemeClr w14:val="tx1"/>
                  </w14:solidFill>
                </w14:textFill>
              </w:rPr>
            </w:pPr>
            <w:r>
              <w:rPr>
                <w:rStyle w:val="35"/>
                <w:rFonts w:asciiTheme="majorEastAsia" w:hAnsiTheme="majorEastAsia" w:eastAsiaTheme="majorEastAsia" w:cstheme="majorEastAsia"/>
                <w:b w:val="0"/>
                <w:bCs w:val="0"/>
                <w:color w:val="000000" w:themeColor="text1"/>
                <w:szCs w:val="21"/>
                <w14:textFill>
                  <w14:solidFill>
                    <w14:schemeClr w14:val="tx1"/>
                  </w14:solidFill>
                </w14:textFill>
              </w:rPr>
              <w:t>投标人可自行搭配人员，</w:t>
            </w:r>
            <w:r>
              <w:rPr>
                <w:rStyle w:val="35"/>
                <w:rFonts w:hint="eastAsia" w:asciiTheme="majorEastAsia" w:hAnsiTheme="majorEastAsia" w:eastAsiaTheme="majorEastAsia" w:cstheme="majorEastAsia"/>
                <w:b w:val="0"/>
                <w:bCs w:val="0"/>
                <w:color w:val="000000" w:themeColor="text1"/>
                <w:szCs w:val="21"/>
                <w:lang w:val="en-US" w:eastAsia="zh-CN"/>
                <w14:textFill>
                  <w14:solidFill>
                    <w14:schemeClr w14:val="tx1"/>
                  </w14:solidFill>
                </w14:textFill>
              </w:rPr>
              <w:t>本</w:t>
            </w:r>
            <w:r>
              <w:rPr>
                <w:rStyle w:val="35"/>
                <w:rFonts w:asciiTheme="majorEastAsia" w:hAnsiTheme="majorEastAsia" w:eastAsiaTheme="majorEastAsia" w:cstheme="majorEastAsia"/>
                <w:b w:val="0"/>
                <w:bCs w:val="0"/>
                <w:color w:val="000000" w:themeColor="text1"/>
                <w:szCs w:val="21"/>
                <w14:textFill>
                  <w14:solidFill>
                    <w14:schemeClr w14:val="tx1"/>
                  </w14:solidFill>
                </w14:textFill>
              </w:rPr>
              <w:t>项最高</w:t>
            </w:r>
            <w:r>
              <w:rPr>
                <w:rStyle w:val="35"/>
                <w:rFonts w:hint="eastAsia" w:asciiTheme="majorEastAsia" w:hAnsiTheme="majorEastAsia" w:eastAsiaTheme="majorEastAsia" w:cstheme="majorEastAsia"/>
                <w:b w:val="0"/>
                <w:bCs w:val="0"/>
                <w:color w:val="000000" w:themeColor="text1"/>
                <w:szCs w:val="21"/>
                <w:lang w:val="en-US" w:eastAsia="zh-CN"/>
                <w14:textFill>
                  <w14:solidFill>
                    <w14:schemeClr w14:val="tx1"/>
                  </w14:solidFill>
                </w14:textFill>
              </w:rPr>
              <w:t>得</w:t>
            </w:r>
            <w:r>
              <w:rPr>
                <w:rStyle w:val="35"/>
                <w:rFonts w:asciiTheme="majorEastAsia" w:hAnsiTheme="majorEastAsia" w:eastAsiaTheme="majorEastAsia" w:cstheme="majorEastAsia"/>
                <w:b w:val="0"/>
                <w:bCs w:val="0"/>
                <w:color w:val="000000" w:themeColor="text1"/>
                <w:szCs w:val="21"/>
                <w14:textFill>
                  <w14:solidFill>
                    <w14:schemeClr w14:val="tx1"/>
                  </w14:solidFill>
                </w14:textFill>
              </w:rPr>
              <w:t>3分。</w:t>
            </w:r>
          </w:p>
          <w:p w14:paraId="41363148">
            <w:pPr>
              <w:keepNext w:val="0"/>
              <w:keepLines w:val="0"/>
              <w:pageBreakBefore w:val="0"/>
              <w:widowControl/>
              <w:kinsoku/>
              <w:wordWrap/>
              <w:overflowPunct/>
              <w:topLinePunct w:val="0"/>
              <w:autoSpaceDE/>
              <w:autoSpaceDN/>
              <w:bidi w:val="0"/>
              <w:adjustRightInd w:val="0"/>
              <w:snapToGrid/>
              <w:spacing w:line="300" w:lineRule="auto"/>
              <w:ind w:firstLine="0" w:firstLineChars="0"/>
              <w:textAlignment w:val="auto"/>
              <w:rPr>
                <w:rStyle w:val="35"/>
                <w:rFonts w:hint="eastAsia" w:asciiTheme="minorEastAsia" w:hAnsiTheme="minorEastAsia" w:eastAsiaTheme="minorEastAsia" w:cstheme="minorEastAsia"/>
                <w:b/>
                <w:bCs w:val="0"/>
                <w:color w:val="000000" w:themeColor="text1"/>
                <w:szCs w:val="21"/>
                <w:highlight w:val="none"/>
                <w:lang w:val="en-US" w:eastAsia="zh-CN"/>
                <w14:textFill>
                  <w14:solidFill>
                    <w14:schemeClr w14:val="tx1"/>
                  </w14:solidFill>
                </w14:textFill>
              </w:rPr>
            </w:pPr>
            <w:r>
              <w:rPr>
                <w:rStyle w:val="35"/>
                <w:rFonts w:hint="eastAsia" w:asciiTheme="majorEastAsia" w:hAnsiTheme="majorEastAsia" w:eastAsiaTheme="majorEastAsia" w:cstheme="majorEastAsia"/>
                <w:b/>
                <w:bCs w:val="0"/>
                <w:color w:val="000000" w:themeColor="text1"/>
                <w:sz w:val="21"/>
                <w:szCs w:val="21"/>
                <w:highlight w:val="none"/>
                <w:lang w:val="en-US" w:eastAsia="zh-CN"/>
                <w14:textFill>
                  <w14:solidFill>
                    <w14:schemeClr w14:val="tx1"/>
                  </w14:solidFill>
                </w14:textFill>
              </w:rPr>
              <w:t>注：同一人员如具有多个证书的，仅按最高得分计算，不重复计分。</w:t>
            </w:r>
            <w:r>
              <w:rPr>
                <w:rStyle w:val="35"/>
                <w:rFonts w:asciiTheme="majorEastAsia" w:hAnsiTheme="majorEastAsia" w:eastAsiaTheme="majorEastAsia" w:cstheme="majorEastAsia"/>
                <w:bCs w:val="0"/>
                <w:color w:val="000000" w:themeColor="text1"/>
                <w14:textFill>
                  <w14:solidFill>
                    <w14:schemeClr w14:val="tx1"/>
                  </w14:solidFill>
                </w14:textFill>
              </w:rPr>
              <w:t>须提供有效证书复印件及社会保障部门出具的在投标截止日前6个月内连续3个月（不含开标当月）投标人为其缴纳的社保凭证复印件加盖投标人公章</w:t>
            </w:r>
            <w:r>
              <w:rPr>
                <w:rStyle w:val="35"/>
                <w:rFonts w:asciiTheme="majorEastAsia" w:hAnsiTheme="majorEastAsia" w:eastAsiaTheme="majorEastAsia" w:cstheme="majorEastAsia"/>
              </w:rPr>
              <w:t>。</w:t>
            </w:r>
          </w:p>
        </w:tc>
      </w:tr>
      <w:tr w14:paraId="18B38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690" w:hRule="atLeast"/>
          <w:jc w:val="center"/>
        </w:trPr>
        <w:tc>
          <w:tcPr>
            <w:tcW w:w="9728" w:type="dxa"/>
            <w:gridSpan w:val="4"/>
            <w:tcBorders>
              <w:top w:val="single" w:color="auto" w:sz="4" w:space="0"/>
              <w:left w:val="single" w:color="auto" w:sz="4" w:space="0"/>
              <w:bottom w:val="single" w:color="auto" w:sz="4" w:space="0"/>
              <w:right w:val="single" w:color="auto" w:sz="4" w:space="0"/>
            </w:tcBorders>
            <w:vAlign w:val="center"/>
          </w:tcPr>
          <w:p w14:paraId="343B9461">
            <w:pPr>
              <w:pStyle w:val="48"/>
              <w:keepNext w:val="0"/>
              <w:keepLines w:val="0"/>
              <w:pageBreakBefore w:val="0"/>
              <w:kinsoku/>
              <w:wordWrap/>
              <w:overflowPunct/>
              <w:topLinePunct w:val="0"/>
              <w:autoSpaceDE/>
              <w:autoSpaceDN/>
              <w:bidi w:val="0"/>
              <w:adjustRightInd w:val="0"/>
              <w:snapToGrid/>
              <w:spacing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技术评审（</w:t>
            </w:r>
            <w:r>
              <w:rPr>
                <w:rFonts w:hint="eastAsia" w:ascii="宋体" w:eastAsia="宋体" w:cs="宋体"/>
                <w:b/>
                <w:bCs/>
                <w:color w:val="auto"/>
                <w:sz w:val="21"/>
                <w:szCs w:val="21"/>
                <w:highlight w:val="none"/>
                <w:lang w:val="en-US" w:eastAsia="zh-CN"/>
              </w:rPr>
              <w:t>25</w:t>
            </w:r>
            <w:r>
              <w:rPr>
                <w:rFonts w:hint="eastAsia" w:ascii="宋体" w:hAnsi="宋体" w:eastAsia="宋体" w:cs="宋体"/>
                <w:b/>
                <w:bCs/>
                <w:color w:val="auto"/>
                <w:sz w:val="21"/>
                <w:szCs w:val="21"/>
                <w:highlight w:val="none"/>
              </w:rPr>
              <w:t>分）</w:t>
            </w:r>
          </w:p>
        </w:tc>
      </w:tr>
      <w:tr w14:paraId="6E075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567"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14:paraId="6D49A4D7">
            <w:pPr>
              <w:pStyle w:val="48"/>
              <w:keepNext w:val="0"/>
              <w:keepLines w:val="0"/>
              <w:pageBreakBefore w:val="0"/>
              <w:kinsoku/>
              <w:wordWrap/>
              <w:overflowPunct/>
              <w:topLinePunct w:val="0"/>
              <w:autoSpaceDE/>
              <w:autoSpaceDN/>
              <w:bidi w:val="0"/>
              <w:adjustRightInd w:val="0"/>
              <w:snapToGrid/>
              <w:spacing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096" w:type="dxa"/>
            <w:tcBorders>
              <w:top w:val="single" w:color="auto" w:sz="4" w:space="0"/>
              <w:left w:val="single" w:color="auto" w:sz="4" w:space="0"/>
              <w:bottom w:val="single" w:color="auto" w:sz="4" w:space="0"/>
              <w:right w:val="single" w:color="auto" w:sz="4" w:space="0"/>
            </w:tcBorders>
            <w:vAlign w:val="center"/>
          </w:tcPr>
          <w:p w14:paraId="2D45CDB5">
            <w:pPr>
              <w:snapToGrid/>
              <w:spacing w:line="240" w:lineRule="auto"/>
              <w:jc w:val="center"/>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kern w:val="2"/>
                <w:sz w:val="21"/>
                <w:szCs w:val="21"/>
                <w:lang w:val="en-US" w:eastAsia="zh-CN" w:bidi="ar-SA"/>
              </w:rPr>
              <w:t>整体项目服务方案</w:t>
            </w:r>
          </w:p>
        </w:tc>
        <w:tc>
          <w:tcPr>
            <w:tcW w:w="766" w:type="dxa"/>
            <w:tcBorders>
              <w:top w:val="single" w:color="auto" w:sz="4" w:space="0"/>
              <w:left w:val="single" w:color="auto" w:sz="4" w:space="0"/>
              <w:bottom w:val="single" w:color="auto" w:sz="4" w:space="0"/>
              <w:right w:val="single" w:color="auto" w:sz="4" w:space="0"/>
            </w:tcBorders>
            <w:vAlign w:val="center"/>
          </w:tcPr>
          <w:p w14:paraId="6C159CC5">
            <w:pPr>
              <w:snapToGrid/>
              <w:spacing w:line="240" w:lineRule="auto"/>
              <w:jc w:val="center"/>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14分</w:t>
            </w:r>
          </w:p>
        </w:tc>
        <w:tc>
          <w:tcPr>
            <w:tcW w:w="7343" w:type="dxa"/>
            <w:tcBorders>
              <w:top w:val="single" w:color="auto" w:sz="4" w:space="0"/>
              <w:left w:val="single" w:color="auto" w:sz="4" w:space="0"/>
              <w:bottom w:val="single" w:color="auto" w:sz="4" w:space="0"/>
              <w:right w:val="single" w:color="auto" w:sz="4" w:space="0"/>
            </w:tcBorders>
            <w:vAlign w:val="center"/>
          </w:tcPr>
          <w:p w14:paraId="7D51D85B">
            <w:pPr>
              <w:pageBreakBefore w:val="0"/>
              <w:widowControl/>
              <w:kinsoku/>
              <w:wordWrap/>
              <w:overflowPunct/>
              <w:topLinePunct w:val="0"/>
              <w:autoSpaceDE/>
              <w:autoSpaceDN/>
              <w:bidi w:val="0"/>
              <w:adjustRightInd w:val="0"/>
              <w:snapToGrid/>
              <w:spacing w:before="0" w:after="0" w:line="300" w:lineRule="auto"/>
              <w:ind w:firstLine="0" w:firstLineChars="0"/>
              <w:textAlignment w:val="auto"/>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根据投标人提供的</w:t>
            </w:r>
            <w:r>
              <w:rPr>
                <w:rFonts w:hint="eastAsia" w:asciiTheme="minorEastAsia" w:hAnsiTheme="minorEastAsia" w:eastAsiaTheme="minorEastAsia" w:cstheme="minorEastAsia"/>
                <w:color w:val="auto"/>
                <w:kern w:val="2"/>
                <w:sz w:val="21"/>
                <w:szCs w:val="21"/>
                <w:lang w:val="en-US" w:eastAsia="zh-CN" w:bidi="ar-SA"/>
              </w:rPr>
              <w:t>整体项目服务方案</w:t>
            </w:r>
            <w:r>
              <w:rPr>
                <w:rFonts w:hint="eastAsia" w:asciiTheme="minorEastAsia" w:hAnsiTheme="minorEastAsia" w:eastAsiaTheme="minorEastAsia" w:cstheme="minorEastAsia"/>
                <w:b w:val="0"/>
                <w:bCs/>
                <w:color w:val="auto"/>
                <w:sz w:val="21"/>
                <w:szCs w:val="21"/>
                <w:highlight w:val="none"/>
                <w:lang w:val="en-US" w:eastAsia="zh-CN"/>
              </w:rPr>
              <w:t>进行评审，内容包括但不限于：（1）项目具体工作方法（2）总体工作思路及流程（3）项目区域现状分析（4）项目实施目标（5）服务人员岗位职责与具体分工（6）拟投入资源配置（7）文档规范性。</w:t>
            </w:r>
          </w:p>
          <w:p w14:paraId="6B2BE7EE">
            <w:pPr>
              <w:snapToGrid/>
              <w:spacing w:line="300" w:lineRule="auto"/>
              <w:ind w:firstLine="0" w:firstLineChars="0"/>
              <w:rPr>
                <w:rFonts w:hint="eastAsia" w:asciiTheme="minorEastAsia" w:hAnsiTheme="minorEastAsia" w:eastAsiaTheme="minorEastAsia" w:cstheme="minorEastAsia"/>
                <w:bCs/>
                <w:color w:val="auto"/>
                <w:szCs w:val="21"/>
                <w:highlight w:val="none"/>
                <w:lang w:val="en-US" w:eastAsia="zh-CN"/>
              </w:rPr>
            </w:pPr>
            <w:r>
              <w:rPr>
                <w:rFonts w:hint="eastAsia" w:asciiTheme="minorEastAsia" w:hAnsiTheme="minorEastAsia" w:eastAsiaTheme="minorEastAsia" w:cstheme="minorEastAsia"/>
                <w:bCs/>
                <w:color w:val="auto"/>
                <w:szCs w:val="21"/>
                <w:highlight w:val="none"/>
                <w:lang w:val="en-US" w:eastAsia="zh-CN"/>
              </w:rPr>
              <w:t>1、方案卓越，针对性极强。7项内容完整齐备；总体思路清晰科学，工作流程严密；对项目区域现状分析透彻，痛点抓得准且应对措施切实可行；实施目标有量化承诺；人员分工明确且排班合理；拟投入的设备/物料资源充足且先进；文档排版精美，图文并茂，逻辑性强的，得14分；</w:t>
            </w:r>
          </w:p>
          <w:p w14:paraId="6C0D9286">
            <w:pPr>
              <w:snapToGrid/>
              <w:spacing w:line="300" w:lineRule="auto"/>
              <w:ind w:firstLine="0" w:firstLineChars="0"/>
              <w:rPr>
                <w:rFonts w:hint="eastAsia" w:asciiTheme="minorEastAsia" w:hAnsiTheme="minorEastAsia" w:eastAsiaTheme="minorEastAsia" w:cstheme="minorEastAsia"/>
                <w:bCs/>
                <w:color w:val="auto"/>
                <w:szCs w:val="21"/>
                <w:highlight w:val="none"/>
                <w:lang w:val="en-US" w:eastAsia="zh-CN"/>
              </w:rPr>
            </w:pPr>
            <w:r>
              <w:rPr>
                <w:rFonts w:hint="eastAsia" w:asciiTheme="minorEastAsia" w:hAnsiTheme="minorEastAsia" w:eastAsiaTheme="minorEastAsia" w:cstheme="minorEastAsia"/>
                <w:bCs/>
                <w:color w:val="auto"/>
                <w:szCs w:val="21"/>
                <w:highlight w:val="none"/>
                <w:lang w:val="en-US" w:eastAsia="zh-CN"/>
              </w:rPr>
              <w:t>2、方案优良，具备较高可行性。7项内容完整；工作思路和流程较科学；有结合项目实际进行现状分析，措施较为可行；目标明确，人员分工合理，资源配置能满足本项目需求；文档排版规范，无明显错漏的，得10分；</w:t>
            </w:r>
          </w:p>
          <w:p w14:paraId="44D231C0">
            <w:pPr>
              <w:snapToGrid/>
              <w:spacing w:line="300" w:lineRule="auto"/>
              <w:ind w:firstLine="0" w:firstLineChars="0"/>
              <w:rPr>
                <w:rFonts w:hint="default" w:asciiTheme="minorEastAsia" w:hAnsiTheme="minorEastAsia" w:eastAsiaTheme="minorEastAsia" w:cstheme="minorEastAsia"/>
                <w:bCs/>
                <w:color w:val="auto"/>
                <w:szCs w:val="21"/>
                <w:highlight w:val="none"/>
                <w:lang w:val="en-US" w:eastAsia="zh-CN"/>
              </w:rPr>
            </w:pPr>
            <w:r>
              <w:rPr>
                <w:rFonts w:hint="eastAsia" w:asciiTheme="minorEastAsia" w:hAnsiTheme="minorEastAsia" w:eastAsiaTheme="minorEastAsia" w:cstheme="minorEastAsia"/>
                <w:bCs/>
                <w:color w:val="auto"/>
                <w:szCs w:val="21"/>
                <w:highlight w:val="none"/>
                <w:lang w:val="en-US" w:eastAsia="zh-CN"/>
              </w:rPr>
              <w:t>3、方案一般，缺乏针对性。7项内容有所涉及但不够深入；现状分析存在泛泛而谈、套用通用模板的现象；实施目标不够具体，人员分工和资源配置勉强达标；文档规范性一般，存在少量排版或逻辑瑕疵的，得6分；</w:t>
            </w:r>
          </w:p>
          <w:p w14:paraId="38B817FA">
            <w:pPr>
              <w:keepNext w:val="0"/>
              <w:keepLines w:val="0"/>
              <w:pageBreakBefore w:val="0"/>
              <w:widowControl/>
              <w:kinsoku/>
              <w:wordWrap/>
              <w:overflowPunct/>
              <w:topLinePunct w:val="0"/>
              <w:autoSpaceDE/>
              <w:autoSpaceDN/>
              <w:bidi w:val="0"/>
              <w:adjustRightInd w:val="0"/>
              <w:snapToGrid/>
              <w:spacing w:line="300" w:lineRule="auto"/>
              <w:ind w:firstLine="0" w:firstLineChars="0"/>
              <w:textAlignment w:val="auto"/>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4、方案较差，可行性低。内容缺失较多；完全没有结合项目实际，生搬硬套；目标空洞，人员与资源配置严重不足；文档粗糙，存在明显错别字、漏项，甚至出现其他项目名称等严重错误的，得2分；</w:t>
            </w:r>
          </w:p>
          <w:p w14:paraId="082B981D">
            <w:pPr>
              <w:keepNext w:val="0"/>
              <w:keepLines w:val="0"/>
              <w:pageBreakBefore w:val="0"/>
              <w:widowControl/>
              <w:kinsoku/>
              <w:wordWrap/>
              <w:overflowPunct/>
              <w:topLinePunct w:val="0"/>
              <w:autoSpaceDE/>
              <w:autoSpaceDN/>
              <w:bidi w:val="0"/>
              <w:adjustRightInd w:val="0"/>
              <w:snapToGrid/>
              <w:spacing w:line="300" w:lineRule="auto"/>
              <w:ind w:firstLine="0" w:firstLineChars="0"/>
              <w:textAlignment w:val="auto"/>
              <w:rPr>
                <w:rFonts w:hint="eastAsia" w:asciiTheme="minorEastAsia" w:hAnsiTheme="minorEastAsia" w:eastAsiaTheme="minorEastAsia" w:cstheme="minorEastAsia"/>
                <w:b w:val="0"/>
                <w:bCs/>
                <w:color w:val="auto"/>
                <w:szCs w:val="21"/>
                <w:highlight w:val="none"/>
                <w:u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5、未提供相关方案不得分。</w:t>
            </w:r>
          </w:p>
        </w:tc>
      </w:tr>
      <w:tr w14:paraId="7B403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567"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14:paraId="47A13EF1">
            <w:pPr>
              <w:pStyle w:val="48"/>
              <w:keepNext w:val="0"/>
              <w:keepLines w:val="0"/>
              <w:pageBreakBefore w:val="0"/>
              <w:kinsoku/>
              <w:wordWrap/>
              <w:overflowPunct/>
              <w:topLinePunct w:val="0"/>
              <w:autoSpaceDE/>
              <w:autoSpaceDN/>
              <w:bidi w:val="0"/>
              <w:adjustRightInd w:val="0"/>
              <w:snapToGrid/>
              <w:spacing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096" w:type="dxa"/>
            <w:tcBorders>
              <w:top w:val="single" w:color="auto" w:sz="4" w:space="0"/>
              <w:left w:val="single" w:color="auto" w:sz="4" w:space="0"/>
              <w:bottom w:val="single" w:color="auto" w:sz="4" w:space="0"/>
              <w:right w:val="single" w:color="auto" w:sz="4" w:space="0"/>
            </w:tcBorders>
            <w:vAlign w:val="center"/>
          </w:tcPr>
          <w:p w14:paraId="69C8CEB4">
            <w:pPr>
              <w:snapToGrid/>
              <w:spacing w:line="240" w:lineRule="auto"/>
              <w:jc w:val="center"/>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kern w:val="2"/>
                <w:sz w:val="21"/>
                <w:szCs w:val="21"/>
                <w:lang w:val="en-US" w:eastAsia="zh-CN" w:bidi="ar-SA"/>
              </w:rPr>
              <w:t>突发事件应急预案</w:t>
            </w:r>
          </w:p>
        </w:tc>
        <w:tc>
          <w:tcPr>
            <w:tcW w:w="766" w:type="dxa"/>
            <w:tcBorders>
              <w:top w:val="single" w:color="auto" w:sz="4" w:space="0"/>
              <w:left w:val="single" w:color="auto" w:sz="4" w:space="0"/>
              <w:bottom w:val="single" w:color="auto" w:sz="4" w:space="0"/>
              <w:right w:val="single" w:color="auto" w:sz="4" w:space="0"/>
            </w:tcBorders>
            <w:vAlign w:val="center"/>
          </w:tcPr>
          <w:p w14:paraId="16FCD4CE">
            <w:pPr>
              <w:snapToGrid/>
              <w:spacing w:line="240" w:lineRule="auto"/>
              <w:jc w:val="center"/>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8分</w:t>
            </w:r>
          </w:p>
        </w:tc>
        <w:tc>
          <w:tcPr>
            <w:tcW w:w="7343" w:type="dxa"/>
            <w:tcBorders>
              <w:top w:val="single" w:color="auto" w:sz="4" w:space="0"/>
              <w:left w:val="single" w:color="auto" w:sz="4" w:space="0"/>
              <w:bottom w:val="single" w:color="auto" w:sz="4" w:space="0"/>
              <w:right w:val="single" w:color="auto" w:sz="4" w:space="0"/>
            </w:tcBorders>
            <w:vAlign w:val="center"/>
          </w:tcPr>
          <w:p w14:paraId="630811F5">
            <w:pPr>
              <w:keepNext w:val="0"/>
              <w:keepLines w:val="0"/>
              <w:pageBreakBefore w:val="0"/>
              <w:widowControl/>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val="0"/>
                <w:bCs/>
                <w:color w:val="auto"/>
                <w:sz w:val="21"/>
                <w:szCs w:val="21"/>
                <w:highlight w:val="none"/>
                <w:lang w:val="en-US" w:eastAsia="zh-CN"/>
              </w:rPr>
              <w:t>根据投标人提供的突发事件应急预案（</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突发性事件预估合理性、全面度）进行评审，内容包括但不限于：（1）应急保障计划、应急程序和措施；（2）重大故障、故障处理流程；（3）突发事件处理原则；（4）重要时期的保障措施。</w:t>
            </w:r>
          </w:p>
          <w:p w14:paraId="63960763">
            <w:pPr>
              <w:snapToGrid/>
              <w:spacing w:line="300" w:lineRule="auto"/>
              <w:ind w:firstLine="0" w:firstLineChars="0"/>
              <w:rPr>
                <w:rFonts w:hint="eastAsia" w:asciiTheme="minorEastAsia" w:hAnsiTheme="minorEastAsia" w:eastAsiaTheme="minorEastAsia" w:cstheme="minorEastAsia"/>
                <w:bCs/>
                <w:color w:val="auto"/>
                <w:szCs w:val="21"/>
                <w:highlight w:val="none"/>
                <w:lang w:val="en-US" w:eastAsia="zh-CN"/>
              </w:rPr>
            </w:pPr>
            <w:r>
              <w:rPr>
                <w:rFonts w:hint="eastAsia" w:asciiTheme="minorEastAsia" w:hAnsiTheme="minorEastAsia" w:eastAsiaTheme="minorEastAsia" w:cstheme="minorEastAsia"/>
                <w:bCs/>
                <w:color w:val="auto"/>
                <w:szCs w:val="21"/>
                <w:highlight w:val="none"/>
                <w:lang w:val="en-US" w:eastAsia="zh-CN"/>
              </w:rPr>
              <w:t>1、对本项目可能发生的突发事件预估精准、覆盖全面；4项内容完整齐备；应急保障计划详实，程序和措施具有极强的可操作性；重大故障处理流程清晰、时限承诺合理且有技术支撑；处理原则科学明确；重要时期保障措施针对性强、提级管理规范；整体预案经过实战演练验证或提供类似项目成功处置案例佐证的，得8分；</w:t>
            </w:r>
          </w:p>
          <w:p w14:paraId="3C01F8B2">
            <w:pPr>
              <w:snapToGrid/>
              <w:spacing w:line="300" w:lineRule="auto"/>
              <w:rPr>
                <w:rFonts w:hint="eastAsia" w:asciiTheme="minorEastAsia" w:hAnsiTheme="minorEastAsia" w:eastAsiaTheme="minorEastAsia" w:cstheme="minorEastAsia"/>
                <w:bCs/>
                <w:color w:val="auto"/>
                <w:szCs w:val="21"/>
                <w:highlight w:val="none"/>
                <w:lang w:val="en-US" w:eastAsia="zh-CN"/>
              </w:rPr>
            </w:pPr>
            <w:r>
              <w:rPr>
                <w:rFonts w:hint="eastAsia" w:asciiTheme="minorEastAsia" w:hAnsiTheme="minorEastAsia" w:eastAsiaTheme="minorEastAsia" w:cstheme="minorEastAsia"/>
                <w:bCs/>
                <w:color w:val="auto"/>
                <w:szCs w:val="21"/>
                <w:highlight w:val="none"/>
                <w:lang w:val="en-US" w:eastAsia="zh-CN"/>
              </w:rPr>
              <w:t>2、突发事件预估较合理、覆盖面较广；4项内容完整；应急保障计划和程序措施较完善；故障处理流程基本清晰；处理原则正确；重要时期有相应保障措施；整体预案逻辑通顺，具备较好的可行性的，得5分；</w:t>
            </w:r>
          </w:p>
          <w:p w14:paraId="0EEC0F90">
            <w:pPr>
              <w:snapToGrid/>
              <w:spacing w:line="300" w:lineRule="auto"/>
              <w:ind w:firstLine="0" w:firstLineChars="0"/>
              <w:rPr>
                <w:rFonts w:hint="eastAsia" w:asciiTheme="minorEastAsia" w:hAnsiTheme="minorEastAsia" w:eastAsiaTheme="minorEastAsia" w:cstheme="minorEastAsia"/>
                <w:bCs/>
                <w:i w:val="0"/>
                <w:iCs w:val="0"/>
                <w:caps w:val="0"/>
                <w:color w:val="auto"/>
                <w:spacing w:val="0"/>
                <w:sz w:val="21"/>
                <w:szCs w:val="21"/>
                <w:highlight w:val="none"/>
                <w:shd w:val="clear"/>
                <w:lang w:val="en-US" w:eastAsia="zh-CN"/>
              </w:rPr>
            </w:pPr>
            <w:r>
              <w:rPr>
                <w:rFonts w:hint="eastAsia" w:asciiTheme="minorEastAsia" w:hAnsiTheme="minorEastAsia" w:eastAsiaTheme="minorEastAsia" w:cstheme="minorEastAsia"/>
                <w:bCs/>
                <w:color w:val="auto"/>
                <w:szCs w:val="21"/>
                <w:highlight w:val="none"/>
                <w:lang w:val="en-US" w:eastAsia="zh-CN"/>
              </w:rPr>
              <w:t>3、</w:t>
            </w:r>
            <w:r>
              <w:rPr>
                <w:rFonts w:hint="eastAsia" w:asciiTheme="minorEastAsia" w:hAnsiTheme="minorEastAsia" w:eastAsiaTheme="minorEastAsia" w:cstheme="minorEastAsia"/>
                <w:bCs/>
                <w:i w:val="0"/>
                <w:iCs w:val="0"/>
                <w:caps w:val="0"/>
                <w:color w:val="auto"/>
                <w:spacing w:val="0"/>
                <w:sz w:val="21"/>
                <w:szCs w:val="21"/>
                <w:highlight w:val="none"/>
                <w:shd w:val="clear"/>
              </w:rPr>
              <w:t>突发事件预估存在遗漏或不够贴合项目实际；</w:t>
            </w:r>
            <w:r>
              <w:rPr>
                <w:rFonts w:hint="eastAsia" w:asciiTheme="minorEastAsia" w:hAnsiTheme="minorEastAsia" w:eastAsiaTheme="minorEastAsia" w:cstheme="minorEastAsia"/>
                <w:bCs/>
                <w:color w:val="auto"/>
                <w:szCs w:val="21"/>
                <w:highlight w:val="none"/>
                <w:lang w:val="en-US" w:eastAsia="zh-CN"/>
              </w:rPr>
              <w:t>4项内容有所涉及但不够深入；</w:t>
            </w:r>
            <w:r>
              <w:rPr>
                <w:rFonts w:hint="eastAsia" w:asciiTheme="minorEastAsia" w:hAnsiTheme="minorEastAsia" w:eastAsiaTheme="minorEastAsia" w:cstheme="minorEastAsia"/>
                <w:bCs/>
                <w:i w:val="0"/>
                <w:iCs w:val="0"/>
                <w:caps w:val="0"/>
                <w:color w:val="auto"/>
                <w:spacing w:val="0"/>
                <w:sz w:val="21"/>
                <w:szCs w:val="21"/>
                <w:highlight w:val="none"/>
                <w:shd w:val="clear"/>
              </w:rPr>
              <w:t>应急保障计划和措施较为笼统，缺乏具体操作细节；故障处理流程不够细化；处理原则表述泛化；重要时期保障措施流于形式；整体预案套用通用模板痕迹明显</w:t>
            </w:r>
            <w:r>
              <w:rPr>
                <w:rFonts w:hint="eastAsia" w:asciiTheme="minorEastAsia" w:hAnsiTheme="minorEastAsia" w:eastAsiaTheme="minorEastAsia" w:cstheme="minorEastAsia"/>
                <w:bCs/>
                <w:i w:val="0"/>
                <w:iCs w:val="0"/>
                <w:caps w:val="0"/>
                <w:color w:val="auto"/>
                <w:spacing w:val="0"/>
                <w:sz w:val="21"/>
                <w:szCs w:val="21"/>
                <w:highlight w:val="none"/>
                <w:shd w:val="clear"/>
                <w:lang w:val="en-US" w:eastAsia="zh-CN"/>
              </w:rPr>
              <w:t>的，得3分；</w:t>
            </w:r>
          </w:p>
          <w:p w14:paraId="4D4EC9BD">
            <w:pPr>
              <w:snapToGrid/>
              <w:spacing w:line="300" w:lineRule="auto"/>
              <w:rPr>
                <w:rFonts w:hint="eastAsia" w:asciiTheme="minorEastAsia" w:hAnsiTheme="minorEastAsia" w:eastAsiaTheme="minorEastAsia" w:cstheme="minorEastAsia"/>
                <w:bCs/>
                <w:i w:val="0"/>
                <w:iCs w:val="0"/>
                <w:caps w:val="0"/>
                <w:color w:val="auto"/>
                <w:spacing w:val="0"/>
                <w:sz w:val="21"/>
                <w:szCs w:val="21"/>
                <w:highlight w:val="none"/>
                <w:shd w:val="clear"/>
                <w:lang w:val="en-US" w:eastAsia="zh-CN"/>
              </w:rPr>
            </w:pPr>
            <w:r>
              <w:rPr>
                <w:rFonts w:hint="eastAsia" w:asciiTheme="minorEastAsia" w:hAnsiTheme="minorEastAsia" w:eastAsiaTheme="minorEastAsia" w:cstheme="minorEastAsia"/>
                <w:bCs/>
                <w:i w:val="0"/>
                <w:iCs w:val="0"/>
                <w:caps w:val="0"/>
                <w:color w:val="auto"/>
                <w:spacing w:val="0"/>
                <w:sz w:val="21"/>
                <w:szCs w:val="21"/>
                <w:highlight w:val="none"/>
                <w:shd w:val="clear"/>
                <w:lang w:val="en-US" w:eastAsia="zh-CN"/>
              </w:rPr>
              <w:t>4、</w:t>
            </w:r>
            <w:r>
              <w:rPr>
                <w:rFonts w:hint="eastAsia" w:asciiTheme="minorEastAsia" w:hAnsiTheme="minorEastAsia" w:eastAsiaTheme="minorEastAsia" w:cstheme="minorEastAsia"/>
                <w:bCs/>
                <w:i w:val="0"/>
                <w:iCs w:val="0"/>
                <w:caps w:val="0"/>
                <w:color w:val="auto"/>
                <w:spacing w:val="0"/>
                <w:sz w:val="21"/>
                <w:szCs w:val="21"/>
                <w:highlight w:val="none"/>
                <w:shd w:val="clear"/>
              </w:rPr>
              <w:t>突发事件预估严重偏离项目实际或缺失关键风险点；</w:t>
            </w:r>
            <w:r>
              <w:rPr>
                <w:rFonts w:hint="eastAsia"/>
                <w:lang w:val="en-US" w:eastAsia="zh-CN"/>
              </w:rPr>
              <w:t>内容缺失较多；</w:t>
            </w:r>
            <w:r>
              <w:rPr>
                <w:rFonts w:hint="eastAsia" w:asciiTheme="minorEastAsia" w:hAnsiTheme="minorEastAsia" w:eastAsiaTheme="minorEastAsia" w:cstheme="minorEastAsia"/>
                <w:bCs/>
                <w:i w:val="0"/>
                <w:iCs w:val="0"/>
                <w:caps w:val="0"/>
                <w:color w:val="auto"/>
                <w:spacing w:val="0"/>
                <w:sz w:val="21"/>
                <w:szCs w:val="21"/>
                <w:highlight w:val="none"/>
                <w:shd w:val="clear"/>
              </w:rPr>
              <w:t>应急保障计划和措施片面、不可行；故障处理流程混乱或缺失；无明确处理原则；重要时期无针对性措施；文档粗糙，逻辑混乱</w:t>
            </w:r>
            <w:r>
              <w:rPr>
                <w:rFonts w:hint="eastAsia" w:asciiTheme="minorEastAsia" w:hAnsiTheme="minorEastAsia" w:eastAsiaTheme="minorEastAsia" w:cstheme="minorEastAsia"/>
                <w:bCs/>
                <w:i w:val="0"/>
                <w:iCs w:val="0"/>
                <w:caps w:val="0"/>
                <w:color w:val="auto"/>
                <w:spacing w:val="0"/>
                <w:sz w:val="21"/>
                <w:szCs w:val="21"/>
                <w:highlight w:val="none"/>
                <w:shd w:val="clear"/>
                <w:lang w:val="en-US" w:eastAsia="zh-CN"/>
              </w:rPr>
              <w:t>的，得1分；</w:t>
            </w:r>
          </w:p>
          <w:p w14:paraId="24CC507E">
            <w:pPr>
              <w:keepNext w:val="0"/>
              <w:keepLines w:val="0"/>
              <w:pageBreakBefore w:val="0"/>
              <w:widowControl/>
              <w:kinsoku/>
              <w:wordWrap/>
              <w:overflowPunct/>
              <w:topLinePunct w:val="0"/>
              <w:autoSpaceDE/>
              <w:autoSpaceDN/>
              <w:bidi w:val="0"/>
              <w:adjustRightInd/>
              <w:snapToGrid/>
              <w:spacing w:line="300" w:lineRule="auto"/>
              <w:ind w:firstLine="0" w:firstLineChars="0"/>
              <w:textAlignment w:val="auto"/>
              <w:rPr>
                <w:rFonts w:hint="eastAsia" w:asciiTheme="minorEastAsia" w:hAnsiTheme="minorEastAsia" w:eastAsiaTheme="minorEastAsia" w:cstheme="minorEastAsia"/>
                <w:b w:val="0"/>
                <w:bCs/>
                <w:color w:val="auto"/>
                <w:szCs w:val="21"/>
                <w:highlight w:val="none"/>
                <w:u w:val="none"/>
                <w:lang w:val="en-US" w:eastAsia="zh-CN"/>
              </w:rPr>
            </w:pPr>
            <w:r>
              <w:rPr>
                <w:rFonts w:hint="eastAsia" w:asciiTheme="minorEastAsia" w:hAnsiTheme="minorEastAsia" w:eastAsiaTheme="minorEastAsia" w:cstheme="minorEastAsia"/>
                <w:bCs/>
                <w:i w:val="0"/>
                <w:iCs w:val="0"/>
                <w:caps w:val="0"/>
                <w:color w:val="auto"/>
                <w:spacing w:val="0"/>
                <w:sz w:val="21"/>
                <w:szCs w:val="21"/>
                <w:highlight w:val="none"/>
                <w:shd w:val="clear"/>
                <w:lang w:val="en-US" w:eastAsia="zh-CN"/>
              </w:rPr>
              <w:t>5、</w:t>
            </w:r>
            <w:r>
              <w:rPr>
                <w:rFonts w:hint="eastAsia" w:asciiTheme="minorEastAsia" w:hAnsiTheme="minorEastAsia" w:eastAsiaTheme="minorEastAsia" w:cstheme="minorEastAsia"/>
                <w:bCs/>
                <w:color w:val="auto"/>
                <w:szCs w:val="21"/>
                <w:highlight w:val="none"/>
                <w:lang w:val="en-US" w:eastAsia="zh-CN"/>
              </w:rPr>
              <w:t>未</w:t>
            </w:r>
            <w:r>
              <w:rPr>
                <w:rFonts w:hint="eastAsia" w:asciiTheme="minorEastAsia" w:hAnsiTheme="minorEastAsia" w:eastAsiaTheme="minorEastAsia" w:cstheme="minorEastAsia"/>
                <w:bCs/>
                <w:color w:val="auto"/>
                <w:szCs w:val="21"/>
                <w:highlight w:val="none"/>
              </w:rPr>
              <w:t>提供</w:t>
            </w:r>
            <w:r>
              <w:rPr>
                <w:rFonts w:hint="eastAsia" w:asciiTheme="minorEastAsia" w:hAnsiTheme="minorEastAsia" w:eastAsiaTheme="minorEastAsia" w:cstheme="minorEastAsia"/>
                <w:bCs/>
                <w:color w:val="auto"/>
                <w:szCs w:val="21"/>
                <w:highlight w:val="none"/>
                <w:lang w:val="en-US" w:eastAsia="zh-CN"/>
              </w:rPr>
              <w:t>相关</w:t>
            </w:r>
            <w:r>
              <w:rPr>
                <w:rFonts w:hint="eastAsia" w:asciiTheme="minorEastAsia" w:hAnsiTheme="minorEastAsia" w:eastAsiaTheme="minorEastAsia" w:cstheme="minorEastAsia"/>
                <w:bCs/>
                <w:color w:val="auto"/>
                <w:szCs w:val="21"/>
                <w:highlight w:val="none"/>
              </w:rPr>
              <w:t>方案不得分。</w:t>
            </w:r>
          </w:p>
        </w:tc>
      </w:tr>
      <w:tr w14:paraId="54933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567"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14:paraId="7F9DBD43">
            <w:pPr>
              <w:pStyle w:val="48"/>
              <w:keepNext w:val="0"/>
              <w:keepLines w:val="0"/>
              <w:pageBreakBefore w:val="0"/>
              <w:kinsoku/>
              <w:wordWrap/>
              <w:overflowPunct/>
              <w:topLinePunct w:val="0"/>
              <w:autoSpaceDE/>
              <w:autoSpaceDN/>
              <w:bidi w:val="0"/>
              <w:adjustRightInd w:val="0"/>
              <w:snapToGrid/>
              <w:spacing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096" w:type="dxa"/>
            <w:tcBorders>
              <w:top w:val="single" w:color="auto" w:sz="4" w:space="0"/>
              <w:left w:val="single" w:color="auto" w:sz="4" w:space="0"/>
              <w:bottom w:val="single" w:color="auto" w:sz="4" w:space="0"/>
              <w:right w:val="single" w:color="auto" w:sz="4" w:space="0"/>
            </w:tcBorders>
            <w:vAlign w:val="center"/>
          </w:tcPr>
          <w:p w14:paraId="74309851">
            <w:pPr>
              <w:snapToGrid/>
              <w:spacing w:line="240" w:lineRule="auto"/>
              <w:jc w:val="center"/>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b w:val="0"/>
                <w:color w:val="000000" w:themeColor="text1"/>
                <w:szCs w:val="21"/>
                <w:highlight w:val="none"/>
                <w14:textFill>
                  <w14:solidFill>
                    <w14:schemeClr w14:val="tx1"/>
                  </w14:solidFill>
                </w14:textFill>
              </w:rPr>
              <w:t>质量</w:t>
            </w:r>
            <w:r>
              <w:rPr>
                <w:rFonts w:hint="eastAsia" w:asciiTheme="minorEastAsia" w:hAnsiTheme="minorEastAsia" w:eastAsiaTheme="minorEastAsia" w:cstheme="minorEastAsia"/>
                <w:b w:val="0"/>
                <w:color w:val="000000" w:themeColor="text1"/>
                <w:szCs w:val="21"/>
                <w:highlight w:val="none"/>
                <w:lang w:val="en-US" w:eastAsia="zh-CN"/>
                <w14:textFill>
                  <w14:solidFill>
                    <w14:schemeClr w14:val="tx1"/>
                  </w14:solidFill>
                </w14:textFill>
              </w:rPr>
              <w:t>与</w:t>
            </w:r>
            <w:r>
              <w:rPr>
                <w:rFonts w:hint="eastAsia" w:asciiTheme="minorEastAsia" w:hAnsiTheme="minorEastAsia" w:eastAsiaTheme="minorEastAsia" w:cstheme="minorEastAsia"/>
                <w:b w:val="0"/>
                <w:color w:val="000000" w:themeColor="text1"/>
                <w:szCs w:val="21"/>
                <w:highlight w:val="none"/>
                <w14:textFill>
                  <w14:solidFill>
                    <w14:schemeClr w14:val="tx1"/>
                  </w14:solidFill>
                </w14:textFill>
              </w:rPr>
              <w:t>安全</w:t>
            </w:r>
            <w:r>
              <w:rPr>
                <w:rFonts w:hint="eastAsia" w:asciiTheme="minorEastAsia" w:hAnsiTheme="minorEastAsia" w:eastAsiaTheme="minorEastAsia" w:cstheme="minorEastAsia"/>
                <w:b w:val="0"/>
                <w:color w:val="000000" w:themeColor="text1"/>
                <w:szCs w:val="21"/>
                <w:highlight w:val="none"/>
                <w:lang w:val="en-US" w:eastAsia="zh-CN"/>
                <w14:textFill>
                  <w14:solidFill>
                    <w14:schemeClr w14:val="tx1"/>
                  </w14:solidFill>
                </w14:textFill>
              </w:rPr>
              <w:t>保障措施</w:t>
            </w:r>
          </w:p>
        </w:tc>
        <w:tc>
          <w:tcPr>
            <w:tcW w:w="766" w:type="dxa"/>
            <w:tcBorders>
              <w:top w:val="single" w:color="auto" w:sz="4" w:space="0"/>
              <w:left w:val="single" w:color="auto" w:sz="4" w:space="0"/>
              <w:bottom w:val="single" w:color="auto" w:sz="4" w:space="0"/>
              <w:right w:val="single" w:color="auto" w:sz="4" w:space="0"/>
            </w:tcBorders>
            <w:vAlign w:val="center"/>
          </w:tcPr>
          <w:p w14:paraId="65D74257">
            <w:pPr>
              <w:snapToGrid/>
              <w:spacing w:line="240" w:lineRule="auto"/>
              <w:jc w:val="center"/>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3分</w:t>
            </w:r>
          </w:p>
        </w:tc>
        <w:tc>
          <w:tcPr>
            <w:tcW w:w="7343" w:type="dxa"/>
            <w:tcBorders>
              <w:top w:val="single" w:color="auto" w:sz="4" w:space="0"/>
              <w:left w:val="single" w:color="auto" w:sz="4" w:space="0"/>
              <w:bottom w:val="single" w:color="auto" w:sz="4" w:space="0"/>
              <w:right w:val="single" w:color="auto" w:sz="4" w:space="0"/>
            </w:tcBorders>
            <w:vAlign w:val="center"/>
          </w:tcPr>
          <w:p w14:paraId="51D61DB2">
            <w:pPr>
              <w:keepNext w:val="0"/>
              <w:keepLines w:val="0"/>
              <w:pageBreakBefore w:val="0"/>
              <w:widowControl/>
              <w:kinsoku/>
              <w:wordWrap/>
              <w:overflowPunct/>
              <w:topLinePunct w:val="0"/>
              <w:autoSpaceDE/>
              <w:autoSpaceDN/>
              <w:bidi w:val="0"/>
              <w:adjustRightInd w:val="0"/>
              <w:snapToGrid/>
              <w:spacing w:line="300" w:lineRule="auto"/>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根据</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投标人</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提供的质量保证措施和安全文明作业方案</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进行</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评审</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p>
          <w:p w14:paraId="163629CC">
            <w:pPr>
              <w:keepNext w:val="0"/>
              <w:keepLines w:val="0"/>
              <w:pageBreakBefore w:val="0"/>
              <w:widowControl/>
              <w:numPr>
                <w:ilvl w:val="0"/>
                <w:numId w:val="0"/>
              </w:numPr>
              <w:kinsoku/>
              <w:wordWrap/>
              <w:overflowPunct/>
              <w:topLinePunct w:val="0"/>
              <w:autoSpaceDE/>
              <w:autoSpaceDN/>
              <w:bidi w:val="0"/>
              <w:adjustRightInd w:val="0"/>
              <w:snapToGrid/>
              <w:spacing w:line="300" w:lineRule="auto"/>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bidi="ar-SA"/>
                <w14:textFill>
                  <w14:solidFill>
                    <w14:schemeClr w14:val="tx1"/>
                  </w14:solidFill>
                </w14:textFill>
              </w:rPr>
              <w:t>1、质</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量保证体系完整、严谨，</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对</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现场踏勘、现状监测等各环节均有详尽、可追溯的质量控制流程。安全文明作业方案全面具体，对现场作业的安全风险（如有限空间、高空作业、用电安全等）识别全面，并制定了针对性的应急预案和防护措施，可行性极强，得</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分； </w:t>
            </w:r>
          </w:p>
          <w:p w14:paraId="426D5D26">
            <w:pPr>
              <w:keepNext w:val="0"/>
              <w:keepLines w:val="0"/>
              <w:pageBreakBefore w:val="0"/>
              <w:widowControl/>
              <w:numPr>
                <w:ilvl w:val="0"/>
                <w:numId w:val="0"/>
              </w:numPr>
              <w:kinsoku/>
              <w:wordWrap/>
              <w:overflowPunct/>
              <w:topLinePunct w:val="0"/>
              <w:autoSpaceDE/>
              <w:autoSpaceDN/>
              <w:bidi w:val="0"/>
              <w:adjustRightInd w:val="0"/>
              <w:snapToGrid/>
              <w:spacing w:line="300" w:lineRule="auto"/>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bidi="ar-SA"/>
                <w14:textFill>
                  <w14:solidFill>
                    <w14:schemeClr w14:val="tx1"/>
                  </w14:solidFill>
                </w14:textFill>
              </w:rPr>
              <w:t>2、</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质量保证体系较为合理，有明确的质量控制节点和措施。安全文明作业方案较为完善，能识别主要安全风险并提出了相应的防护措施，具备较好的可行性，得</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分； </w:t>
            </w:r>
          </w:p>
          <w:p w14:paraId="464411CB">
            <w:pPr>
              <w:keepNext w:val="0"/>
              <w:keepLines w:val="0"/>
              <w:pageBreakBefore w:val="0"/>
              <w:widowControl/>
              <w:numPr>
                <w:ilvl w:val="0"/>
                <w:numId w:val="0"/>
              </w:numPr>
              <w:kinsoku/>
              <w:wordWrap/>
              <w:overflowPunct/>
              <w:topLinePunct w:val="0"/>
              <w:autoSpaceDE/>
              <w:autoSpaceDN/>
              <w:bidi w:val="0"/>
              <w:adjustRightInd w:val="0"/>
              <w:snapToGrid/>
              <w:spacing w:line="300" w:lineRule="auto"/>
              <w:textAlignment w:val="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bidi="ar-SA"/>
                <w14:textFill>
                  <w14:solidFill>
                    <w14:schemeClr w14:val="tx1"/>
                  </w14:solidFill>
                </w14:textFill>
              </w:rPr>
              <w:t>3、质量保证措施和安全文明作业方案仅作简单描述，内容空泛，缺乏针对性和可操作性，难以保障项目实施过程中的质量与安全</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，得1分； </w:t>
            </w:r>
          </w:p>
          <w:p w14:paraId="73FFFE1A">
            <w:pPr>
              <w:keepNext w:val="0"/>
              <w:keepLines w:val="0"/>
              <w:pageBreakBefore w:val="0"/>
              <w:widowControl/>
              <w:kinsoku/>
              <w:wordWrap/>
              <w:overflowPunct/>
              <w:topLinePunct w:val="0"/>
              <w:autoSpaceDE/>
              <w:autoSpaceDN/>
              <w:bidi w:val="0"/>
              <w:adjustRightInd w:val="0"/>
              <w:snapToGrid/>
              <w:spacing w:line="300" w:lineRule="auto"/>
              <w:ind w:firstLine="0" w:firstLineChars="0"/>
              <w:textAlignment w:val="auto"/>
              <w:rPr>
                <w:rFonts w:hint="eastAsia" w:asciiTheme="minorEastAsia" w:hAnsiTheme="minorEastAsia" w:eastAsiaTheme="minorEastAsia" w:cstheme="minorEastAsia"/>
                <w:b w:val="0"/>
                <w:bCs/>
                <w:color w:val="auto"/>
                <w:szCs w:val="21"/>
                <w:highlight w:val="none"/>
                <w:u w:val="none"/>
                <w:lang w:val="en-US" w:eastAsia="zh-CN"/>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4</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未</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提供</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相关</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方案不得分。</w:t>
            </w:r>
          </w:p>
        </w:tc>
      </w:tr>
      <w:tr w14:paraId="7380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1480" w:hRule="atLeast"/>
          <w:jc w:val="center"/>
        </w:trPr>
        <w:tc>
          <w:tcPr>
            <w:tcW w:w="9728" w:type="dxa"/>
            <w:gridSpan w:val="4"/>
            <w:tcBorders>
              <w:top w:val="single" w:color="auto" w:sz="4" w:space="0"/>
              <w:left w:val="single" w:color="auto" w:sz="4" w:space="0"/>
              <w:bottom w:val="single" w:color="auto" w:sz="4" w:space="0"/>
              <w:right w:val="single" w:color="auto" w:sz="4" w:space="0"/>
            </w:tcBorders>
            <w:vAlign w:val="center"/>
          </w:tcPr>
          <w:p w14:paraId="2D4EE945">
            <w:pPr>
              <w:keepNext w:val="0"/>
              <w:keepLines w:val="0"/>
              <w:pageBreakBefore w:val="0"/>
              <w:widowControl w:val="0"/>
              <w:tabs>
                <w:tab w:val="left" w:pos="907"/>
              </w:tabs>
              <w:kinsoku/>
              <w:wordWrap/>
              <w:overflowPunct/>
              <w:topLinePunct w:val="0"/>
              <w:autoSpaceDE/>
              <w:autoSpaceDN/>
              <w:bidi w:val="0"/>
              <w:adjustRightInd w:val="0"/>
              <w:snapToGrid/>
              <w:spacing w:line="300" w:lineRule="auto"/>
              <w:ind w:firstLine="422" w:firstLineChars="200"/>
              <w:jc w:val="both"/>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3EF05F2F">
            <w:pPr>
              <w:keepNext w:val="0"/>
              <w:keepLines w:val="0"/>
              <w:pageBreakBefore w:val="0"/>
              <w:widowControl w:val="0"/>
              <w:tabs>
                <w:tab w:val="left" w:pos="907"/>
              </w:tabs>
              <w:kinsoku/>
              <w:wordWrap/>
              <w:overflowPunct/>
              <w:topLinePunct w:val="0"/>
              <w:autoSpaceDE/>
              <w:autoSpaceDN/>
              <w:bidi w:val="0"/>
              <w:adjustRightInd w:val="0"/>
              <w:snapToGrid/>
              <w:spacing w:line="300" w:lineRule="auto"/>
              <w:ind w:firstLine="422" w:firstLineChars="200"/>
              <w:jc w:val="both"/>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（1）无特殊说明外，以上评审项，同一证明文件不重复计分。</w:t>
            </w:r>
          </w:p>
          <w:p w14:paraId="17903A37">
            <w:pPr>
              <w:keepNext w:val="0"/>
              <w:keepLines w:val="0"/>
              <w:pageBreakBefore w:val="0"/>
              <w:widowControl w:val="0"/>
              <w:tabs>
                <w:tab w:val="left" w:pos="907"/>
              </w:tabs>
              <w:kinsoku/>
              <w:wordWrap/>
              <w:overflowPunct/>
              <w:topLinePunct w:val="0"/>
              <w:autoSpaceDE/>
              <w:autoSpaceDN/>
              <w:bidi w:val="0"/>
              <w:adjustRightInd w:val="0"/>
              <w:snapToGrid/>
              <w:spacing w:line="300" w:lineRule="auto"/>
              <w:ind w:firstLine="422" w:firstLineChars="200"/>
              <w:jc w:val="both"/>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（2）投标人根据以上评分要求提供的投标材料因模糊不清导致评标委员会无法清晰辨认进行评审的，视为无效材料。</w:t>
            </w:r>
          </w:p>
        </w:tc>
      </w:tr>
      <w:tr w14:paraId="7642F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709" w:hRule="atLeast"/>
          <w:jc w:val="center"/>
        </w:trPr>
        <w:tc>
          <w:tcPr>
            <w:tcW w:w="9728" w:type="dxa"/>
            <w:gridSpan w:val="4"/>
            <w:tcBorders>
              <w:top w:val="single" w:color="auto" w:sz="4" w:space="0"/>
              <w:left w:val="single" w:color="auto" w:sz="4" w:space="0"/>
              <w:bottom w:val="single" w:color="auto" w:sz="4" w:space="0"/>
              <w:right w:val="single" w:color="auto" w:sz="4" w:space="0"/>
            </w:tcBorders>
            <w:vAlign w:val="center"/>
          </w:tcPr>
          <w:p w14:paraId="378606E6">
            <w:pPr>
              <w:pStyle w:val="48"/>
              <w:keepNext w:val="0"/>
              <w:keepLines w:val="0"/>
              <w:pageBreakBefore w:val="0"/>
              <w:kinsoku/>
              <w:wordWrap/>
              <w:overflowPunct/>
              <w:topLinePunct w:val="0"/>
              <w:autoSpaceDE/>
              <w:autoSpaceDN/>
              <w:bidi w:val="0"/>
              <w:adjustRightInd w:val="0"/>
              <w:snapToGrid/>
              <w:spacing w:line="240" w:lineRule="auto"/>
              <w:ind w:firstLine="0" w:firstLineChars="0"/>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b/>
                <w:bCs/>
                <w:color w:val="auto"/>
                <w:sz w:val="21"/>
                <w:szCs w:val="21"/>
                <w:highlight w:val="none"/>
                <w:u w:val="none"/>
              </w:rPr>
              <w:t>价格评审（40分）</w:t>
            </w:r>
          </w:p>
        </w:tc>
      </w:tr>
      <w:tr w14:paraId="65BAD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567"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14:paraId="02B0D89B">
            <w:pPr>
              <w:pStyle w:val="48"/>
              <w:keepNext w:val="0"/>
              <w:keepLines w:val="0"/>
              <w:pageBreakBefore w:val="0"/>
              <w:kinsoku/>
              <w:wordWrap/>
              <w:overflowPunct/>
              <w:topLinePunct w:val="0"/>
              <w:autoSpaceDE/>
              <w:autoSpaceDN/>
              <w:bidi w:val="0"/>
              <w:adjustRightInd w:val="0"/>
              <w:snapToGrid/>
              <w:spacing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096" w:type="dxa"/>
            <w:tcBorders>
              <w:top w:val="single" w:color="auto" w:sz="4" w:space="0"/>
              <w:left w:val="single" w:color="auto" w:sz="4" w:space="0"/>
              <w:bottom w:val="single" w:color="auto" w:sz="4" w:space="0"/>
              <w:right w:val="single" w:color="auto" w:sz="4" w:space="0"/>
            </w:tcBorders>
            <w:vAlign w:val="center"/>
          </w:tcPr>
          <w:p w14:paraId="34B261D2">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投标总价</w:t>
            </w:r>
          </w:p>
        </w:tc>
        <w:tc>
          <w:tcPr>
            <w:tcW w:w="766" w:type="dxa"/>
            <w:tcBorders>
              <w:top w:val="single" w:color="auto" w:sz="4" w:space="0"/>
              <w:left w:val="single" w:color="auto" w:sz="4" w:space="0"/>
              <w:bottom w:val="single" w:color="auto" w:sz="4" w:space="0"/>
              <w:right w:val="single" w:color="auto" w:sz="4" w:space="0"/>
            </w:tcBorders>
            <w:vAlign w:val="center"/>
          </w:tcPr>
          <w:p w14:paraId="448D9E52">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default" w:ascii="宋体" w:hAnsi="宋体" w:eastAsia="宋体" w:cs="宋体"/>
                <w:color w:val="auto"/>
                <w:kern w:val="2"/>
                <w:szCs w:val="21"/>
                <w:highlight w:val="none"/>
                <w:lang w:val="en-US" w:eastAsia="zh-CN"/>
              </w:rPr>
            </w:pPr>
            <w:r>
              <w:rPr>
                <w:rFonts w:hint="eastAsia" w:ascii="宋体" w:hAnsi="宋体" w:eastAsia="宋体" w:cs="宋体"/>
                <w:color w:val="auto"/>
                <w:kern w:val="2"/>
                <w:szCs w:val="21"/>
                <w:highlight w:val="none"/>
                <w:lang w:val="en-US" w:eastAsia="zh-CN"/>
              </w:rPr>
              <w:t>40</w:t>
            </w:r>
            <w:r>
              <w:rPr>
                <w:rFonts w:hint="eastAsia" w:ascii="宋体" w:hAnsi="宋体" w:cs="宋体"/>
                <w:color w:val="auto"/>
                <w:kern w:val="2"/>
                <w:szCs w:val="21"/>
                <w:highlight w:val="none"/>
                <w:lang w:val="en-US" w:eastAsia="zh-CN"/>
              </w:rPr>
              <w:t>分</w:t>
            </w:r>
          </w:p>
        </w:tc>
        <w:tc>
          <w:tcPr>
            <w:tcW w:w="7343" w:type="dxa"/>
            <w:tcBorders>
              <w:top w:val="single" w:color="auto" w:sz="4" w:space="0"/>
              <w:left w:val="single" w:color="auto" w:sz="4" w:space="0"/>
              <w:bottom w:val="single" w:color="auto" w:sz="4" w:space="0"/>
              <w:right w:val="single" w:color="auto" w:sz="4" w:space="0"/>
            </w:tcBorders>
            <w:vAlign w:val="center"/>
          </w:tcPr>
          <w:p w14:paraId="0473BF8E">
            <w:pPr>
              <w:keepNext w:val="0"/>
              <w:keepLines w:val="0"/>
              <w:pageBreakBefore w:val="0"/>
              <w:widowControl w:val="0"/>
              <w:kinsoku/>
              <w:wordWrap/>
              <w:overflowPunct/>
              <w:topLinePunct w:val="0"/>
              <w:autoSpaceDE/>
              <w:autoSpaceDN/>
              <w:bidi w:val="0"/>
              <w:adjustRightInd w:val="0"/>
              <w:snapToGrid/>
              <w:spacing w:line="300" w:lineRule="auto"/>
              <w:ind w:firstLine="420" w:firstLineChars="200"/>
              <w:textAlignment w:val="auto"/>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价格分计算方法：满足投标文件要求且投标价格（含税报价）最低的投标报价为评标基准价，其价格分为满分。其他投标人的价格分统一按照下列公式计算：投标报价得分=（评标基准价／投标报价）×价格权重×100。</w:t>
            </w:r>
          </w:p>
        </w:tc>
      </w:tr>
    </w:tbl>
    <w:p w14:paraId="11CDBF97">
      <w:pPr>
        <w:snapToGrid/>
        <w:spacing w:before="181" w:beforeLines="50"/>
        <w:ind w:firstLine="420" w:firstLineChars="200"/>
        <w:rPr>
          <w:rFonts w:hint="eastAsia"/>
          <w:color w:val="auto"/>
          <w:highlight w:val="none"/>
        </w:rPr>
      </w:pPr>
      <w:r>
        <w:rPr>
          <w:rFonts w:hint="eastAsia"/>
          <w:color w:val="auto"/>
          <w:highlight w:val="none"/>
        </w:rPr>
        <w:t>注：评标委员会评委按评标标准独立对技术标进行评审，得出技术标评分。当评标委员会为五人时，在所有评委对同一份投标文件技术标评审的总评分中，去掉一个最高分和一个最低分，计算剩余总评分的算术平均值即为该投标人技术标的最终综合得分；当评标委员会为七人及以上单数时，在各评委的打分中，同一评委的最高评分减去最低评分，去掉分差最大评委的所有技术标评分（当一位或两位评委评分差值最大时均取消其评委评分，当多于两位评分差值均最大时，不取消任一评委评分），在所有剩余评委对同一份投标文件技术部分评审的总评分中，去掉一个最高分和一个最低分，计算剩余总评分的算术平均值即为该投标人技术部分的最终综合得分。</w:t>
      </w:r>
    </w:p>
    <w:p w14:paraId="4BD51124">
      <w:pPr>
        <w:snapToGrid/>
        <w:spacing w:before="181" w:beforeLines="50"/>
        <w:ind w:firstLine="420" w:firstLineChars="200"/>
        <w:rPr>
          <w:color w:val="auto"/>
          <w:highlight w:val="none"/>
        </w:rPr>
      </w:pPr>
      <w:r>
        <w:rPr>
          <w:rFonts w:hint="eastAsia"/>
          <w:color w:val="auto"/>
          <w:highlight w:val="none"/>
        </w:rPr>
        <w:br w:type="page"/>
      </w:r>
    </w:p>
    <w:p w14:paraId="5FF3BF83">
      <w:pPr>
        <w:pStyle w:val="6"/>
        <w:pageBreakBefore w:val="0"/>
        <w:widowControl/>
        <w:kinsoku/>
        <w:wordWrap/>
        <w:overflowPunct/>
        <w:topLinePunct w:val="0"/>
        <w:autoSpaceDE/>
        <w:autoSpaceDN/>
        <w:bidi w:val="0"/>
        <w:adjustRightInd w:val="0"/>
        <w:snapToGrid w:val="0"/>
        <w:spacing w:before="0" w:after="0" w:line="360" w:lineRule="auto"/>
        <w:textAlignment w:val="auto"/>
        <w:rPr>
          <w:color w:val="auto"/>
          <w:sz w:val="36"/>
          <w:szCs w:val="36"/>
          <w:highlight w:val="none"/>
        </w:rPr>
      </w:pPr>
      <w:bookmarkStart w:id="10" w:name="_Toc21237"/>
      <w:bookmarkStart w:id="11" w:name="_Toc16407"/>
      <w:r>
        <w:rPr>
          <w:rFonts w:hint="eastAsia"/>
          <w:color w:val="auto"/>
          <w:sz w:val="28"/>
          <w:szCs w:val="28"/>
          <w:highlight w:val="none"/>
        </w:rPr>
        <w:t>第三部分</w:t>
      </w:r>
      <w:r>
        <w:rPr>
          <w:rFonts w:hint="eastAsia"/>
          <w:color w:val="auto"/>
          <w:sz w:val="28"/>
          <w:szCs w:val="28"/>
          <w:highlight w:val="none"/>
          <w:lang w:val="en-US" w:eastAsia="zh-CN"/>
        </w:rPr>
        <w:t xml:space="preserve"> </w:t>
      </w:r>
      <w:r>
        <w:rPr>
          <w:rFonts w:hint="eastAsia"/>
          <w:color w:val="auto"/>
          <w:sz w:val="28"/>
          <w:szCs w:val="28"/>
          <w:highlight w:val="none"/>
        </w:rPr>
        <w:t>用户需求书</w:t>
      </w:r>
      <w:bookmarkEnd w:id="10"/>
      <w:bookmarkEnd w:id="11"/>
    </w:p>
    <w:p w14:paraId="4D198F3D">
      <w:pPr>
        <w:jc w:val="center"/>
        <w:outlineLvl w:val="2"/>
        <w:rPr>
          <w:rFonts w:hint="eastAsia"/>
          <w:b/>
          <w:bCs/>
          <w:color w:val="auto"/>
          <w:sz w:val="24"/>
          <w:szCs w:val="24"/>
          <w:highlight w:val="none"/>
          <w:lang w:val="en-US" w:eastAsia="zh-CN"/>
        </w:rPr>
      </w:pPr>
      <w:bookmarkStart w:id="12" w:name="_Toc24425"/>
      <w:bookmarkStart w:id="13" w:name="_Toc31595"/>
      <w:r>
        <w:rPr>
          <w:rFonts w:hint="eastAsia"/>
          <w:b/>
          <w:bCs/>
          <w:color w:val="auto"/>
          <w:sz w:val="24"/>
          <w:szCs w:val="24"/>
          <w:highlight w:val="none"/>
          <w:lang w:val="en-US" w:eastAsia="zh-CN"/>
        </w:rPr>
        <w:t>第一章 商务需求书</w:t>
      </w:r>
      <w:bookmarkEnd w:id="12"/>
    </w:p>
    <w:tbl>
      <w:tblPr>
        <w:tblStyle w:val="32"/>
        <w:tblW w:w="955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8"/>
        <w:gridCol w:w="1487"/>
        <w:gridCol w:w="7350"/>
      </w:tblGrid>
      <w:tr w14:paraId="2AD43B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18" w:type="dxa"/>
            <w:vAlign w:val="center"/>
          </w:tcPr>
          <w:p w14:paraId="592C1055">
            <w:pPr>
              <w:snapToGrid/>
              <w:spacing w:line="240" w:lineRule="auto"/>
              <w:jc w:val="center"/>
              <w:rPr>
                <w:rFonts w:hint="eastAsia" w:asciiTheme="minorEastAsia" w:hAnsiTheme="minorEastAsia" w:eastAsiaTheme="minorEastAsia" w:cstheme="minorEastAsia"/>
                <w:b/>
                <w:bCs/>
                <w:color w:val="000000" w:themeColor="text1"/>
                <w:szCs w:val="21"/>
                <w14:textFill>
                  <w14:solidFill>
                    <w14:schemeClr w14:val="tx1"/>
                  </w14:solidFill>
                </w14:textFill>
              </w:rPr>
            </w:pPr>
            <w:r>
              <w:rPr>
                <w:rFonts w:hint="eastAsia" w:asciiTheme="minorEastAsia" w:hAnsiTheme="minorEastAsia" w:eastAsiaTheme="minorEastAsia" w:cstheme="minorEastAsia"/>
                <w:b/>
                <w:bCs/>
                <w:color w:val="000000" w:themeColor="text1"/>
                <w:szCs w:val="21"/>
                <w14:textFill>
                  <w14:solidFill>
                    <w14:schemeClr w14:val="tx1"/>
                  </w14:solidFill>
                </w14:textFill>
              </w:rPr>
              <w:t>序号</w:t>
            </w:r>
          </w:p>
        </w:tc>
        <w:tc>
          <w:tcPr>
            <w:tcW w:w="1487" w:type="dxa"/>
            <w:vAlign w:val="center"/>
          </w:tcPr>
          <w:p w14:paraId="38721F89">
            <w:pPr>
              <w:snapToGrid/>
              <w:spacing w:line="240" w:lineRule="auto"/>
              <w:jc w:val="center"/>
              <w:rPr>
                <w:rFonts w:hint="eastAsia" w:asciiTheme="minorEastAsia" w:hAnsiTheme="minorEastAsia" w:eastAsiaTheme="minorEastAsia" w:cstheme="minorEastAsia"/>
                <w:b/>
                <w:bCs/>
                <w:color w:val="000000" w:themeColor="text1"/>
                <w:szCs w:val="21"/>
                <w14:textFill>
                  <w14:solidFill>
                    <w14:schemeClr w14:val="tx1"/>
                  </w14:solidFill>
                </w14:textFill>
              </w:rPr>
            </w:pPr>
            <w:r>
              <w:rPr>
                <w:rFonts w:hint="eastAsia" w:asciiTheme="minorEastAsia" w:hAnsiTheme="minorEastAsia" w:eastAsiaTheme="minorEastAsia" w:cstheme="minorEastAsia"/>
                <w:b/>
                <w:bCs/>
                <w:color w:val="000000" w:themeColor="text1"/>
                <w:szCs w:val="21"/>
                <w14:textFill>
                  <w14:solidFill>
                    <w14:schemeClr w14:val="tx1"/>
                  </w14:solidFill>
                </w14:textFill>
              </w:rPr>
              <w:t>条款名称</w:t>
            </w:r>
          </w:p>
        </w:tc>
        <w:tc>
          <w:tcPr>
            <w:tcW w:w="7350" w:type="dxa"/>
            <w:vAlign w:val="center"/>
          </w:tcPr>
          <w:p w14:paraId="162F3423">
            <w:pPr>
              <w:snapToGrid/>
              <w:spacing w:line="240" w:lineRule="auto"/>
              <w:jc w:val="center"/>
              <w:rPr>
                <w:rFonts w:hint="eastAsia" w:asciiTheme="minorEastAsia" w:hAnsiTheme="minorEastAsia" w:eastAsiaTheme="minorEastAsia" w:cstheme="minorEastAsia"/>
                <w:b/>
                <w:bCs/>
                <w:color w:val="000000" w:themeColor="text1"/>
                <w:szCs w:val="21"/>
                <w14:textFill>
                  <w14:solidFill>
                    <w14:schemeClr w14:val="tx1"/>
                  </w14:solidFill>
                </w14:textFill>
              </w:rPr>
            </w:pPr>
            <w:r>
              <w:rPr>
                <w:rFonts w:hint="eastAsia" w:asciiTheme="minorEastAsia" w:hAnsiTheme="minorEastAsia" w:eastAsiaTheme="minorEastAsia" w:cstheme="minorEastAsia"/>
                <w:b/>
                <w:bCs/>
                <w:color w:val="000000" w:themeColor="text1"/>
                <w:szCs w:val="21"/>
                <w14:textFill>
                  <w14:solidFill>
                    <w14:schemeClr w14:val="tx1"/>
                  </w14:solidFill>
                </w14:textFill>
              </w:rPr>
              <w:t>说  明</w:t>
            </w:r>
          </w:p>
        </w:tc>
      </w:tr>
      <w:tr w14:paraId="707DA7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18" w:type="dxa"/>
            <w:vAlign w:val="center"/>
          </w:tcPr>
          <w:p w14:paraId="164F6C92">
            <w:pPr>
              <w:snapToGrid/>
              <w:spacing w:line="240" w:lineRule="auto"/>
              <w:jc w:val="center"/>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1</w:t>
            </w:r>
          </w:p>
        </w:tc>
        <w:tc>
          <w:tcPr>
            <w:tcW w:w="1487" w:type="dxa"/>
            <w:vAlign w:val="center"/>
          </w:tcPr>
          <w:p w14:paraId="55C6AC03">
            <w:pPr>
              <w:snapToGrid/>
              <w:spacing w:line="240" w:lineRule="auto"/>
              <w:jc w:val="center"/>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合格投标人</w:t>
            </w:r>
          </w:p>
        </w:tc>
        <w:tc>
          <w:tcPr>
            <w:tcW w:w="7350" w:type="dxa"/>
            <w:vAlign w:val="center"/>
          </w:tcPr>
          <w:p w14:paraId="627A6A03">
            <w:pPr>
              <w:pStyle w:val="45"/>
              <w:snapToGrid/>
              <w:spacing w:line="300" w:lineRule="auto"/>
              <w:ind w:firstLine="0" w:firstLineChars="0"/>
              <w:rPr>
                <w:rFonts w:hint="eastAsia" w:asciiTheme="minorEastAsia" w:hAnsiTheme="minorEastAsia" w:eastAsiaTheme="minorEastAsia" w:cstheme="minorEastAsia"/>
                <w:bCs/>
                <w:color w:val="000000" w:themeColor="text1"/>
                <w:kern w:val="44"/>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详见“第一部分 投标邀请”中“二、投标人资格要求”</w:t>
            </w:r>
          </w:p>
        </w:tc>
      </w:tr>
      <w:tr w14:paraId="53999D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18" w:type="dxa"/>
            <w:vAlign w:val="center"/>
          </w:tcPr>
          <w:p w14:paraId="5EC517F5">
            <w:pPr>
              <w:snapToGrid/>
              <w:spacing w:line="240" w:lineRule="auto"/>
              <w:jc w:val="center"/>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2</w:t>
            </w:r>
          </w:p>
        </w:tc>
        <w:tc>
          <w:tcPr>
            <w:tcW w:w="1487" w:type="dxa"/>
            <w:vAlign w:val="center"/>
          </w:tcPr>
          <w:p w14:paraId="33CC375B">
            <w:pPr>
              <w:snapToGrid/>
              <w:spacing w:line="240" w:lineRule="auto"/>
              <w:jc w:val="center"/>
              <w:rPr>
                <w:rFonts w:hint="default" w:asciiTheme="minorEastAsia" w:hAnsiTheme="minorEastAsia" w:eastAsiaTheme="minorEastAsia" w:cstheme="minorEastAsia"/>
                <w:color w:val="000000" w:themeColor="text1"/>
                <w:szCs w:val="21"/>
                <w:highlight w:val="none"/>
                <w:lang w:val="en-US"/>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服务周期要求</w:t>
            </w:r>
          </w:p>
        </w:tc>
        <w:tc>
          <w:tcPr>
            <w:tcW w:w="7350" w:type="dxa"/>
            <w:vAlign w:val="center"/>
          </w:tcPr>
          <w:p w14:paraId="12B052A2">
            <w:pPr>
              <w:pStyle w:val="13"/>
              <w:snapToGrid/>
              <w:spacing w:line="300" w:lineRule="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合同签订后，</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中标人</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需在约定时限内完成全部服务工作：资料收集及现场勘查3个工作日内完成，环评报告编制及报审、应急预案编制备案、竣工环保验收工作根据项目技改进度同步推进，确保所有环保手续在项目投产前全部办结，具体节点可根据项目实际进度双方协商确定</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但需满足以下基本要求：</w:t>
            </w:r>
          </w:p>
          <w:p w14:paraId="3987A8C3">
            <w:pPr>
              <w:pStyle w:val="13"/>
              <w:snapToGrid/>
              <w:spacing w:line="300" w:lineRule="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（一）环境影响评价服务</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期</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Style w:val="35"/>
                <w:rFonts w:hint="eastAsia" w:asciiTheme="majorEastAsia" w:hAnsiTheme="majorEastAsia" w:eastAsiaTheme="majorEastAsia" w:cstheme="majorEastAsia"/>
                <w:b w:val="0"/>
                <w:color w:val="000000" w:themeColor="text1"/>
                <w:szCs w:val="21"/>
                <w:highlight w:val="none"/>
                <w:lang w:val="en-US" w:eastAsia="zh-CN"/>
                <w14:textFill>
                  <w14:solidFill>
                    <w14:schemeClr w14:val="tx1"/>
                  </w14:solidFill>
                </w14:textFill>
              </w:rPr>
              <w:t>210个日历日</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内取得项目环评批复。</w:t>
            </w:r>
          </w:p>
          <w:p w14:paraId="7AD9372A">
            <w:pPr>
              <w:pStyle w:val="13"/>
              <w:snapToGrid/>
              <w:spacing w:line="300" w:lineRule="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（二）突发环境事件应急预案编制及备案服务期</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项目进入调试前</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完成应急预案</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编制及</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备案。</w:t>
            </w:r>
          </w:p>
          <w:p w14:paraId="1674EE0F">
            <w:pPr>
              <w:pStyle w:val="13"/>
              <w:snapToGrid/>
              <w:spacing w:line="300" w:lineRule="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（三）竣工环境保护验收服务</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期</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项目进入调试验收阶段后，</w:t>
            </w:r>
            <w:r>
              <w:rPr>
                <w:rStyle w:val="35"/>
                <w:rFonts w:hint="eastAsia" w:asciiTheme="majorEastAsia" w:hAnsiTheme="majorEastAsia" w:eastAsiaTheme="majorEastAsia" w:cstheme="majorEastAsia"/>
                <w:b w:val="0"/>
                <w:color w:val="000000" w:themeColor="text1"/>
                <w:szCs w:val="21"/>
                <w:highlight w:val="none"/>
                <w:lang w:val="en-US" w:eastAsia="zh-CN"/>
                <w14:textFill>
                  <w14:solidFill>
                    <w14:schemeClr w14:val="tx1"/>
                  </w14:solidFill>
                </w14:textFill>
              </w:rPr>
              <w:t>90个日历日</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内</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取得专家验收意见。</w:t>
            </w:r>
          </w:p>
        </w:tc>
      </w:tr>
      <w:tr w14:paraId="2DFEC1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18" w:type="dxa"/>
            <w:vAlign w:val="center"/>
          </w:tcPr>
          <w:p w14:paraId="55460C8C">
            <w:pPr>
              <w:snapToGrid/>
              <w:spacing w:line="240" w:lineRule="auto"/>
              <w:jc w:val="center"/>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3</w:t>
            </w:r>
          </w:p>
        </w:tc>
        <w:tc>
          <w:tcPr>
            <w:tcW w:w="1487" w:type="dxa"/>
            <w:vAlign w:val="center"/>
          </w:tcPr>
          <w:p w14:paraId="2F3445B2">
            <w:pPr>
              <w:snapToGrid/>
              <w:spacing w:line="240" w:lineRule="auto"/>
              <w:jc w:val="center"/>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付款方式</w:t>
            </w:r>
          </w:p>
        </w:tc>
        <w:tc>
          <w:tcPr>
            <w:tcW w:w="7350" w:type="dxa"/>
            <w:vAlign w:val="center"/>
          </w:tcPr>
          <w:p w14:paraId="6AECCED0">
            <w:pPr>
              <w:snapToGrid/>
              <w:spacing w:line="300" w:lineRule="auto"/>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（一）本合同</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价</w:t>
            </w:r>
            <w:r>
              <w:rPr>
                <w:rFonts w:hint="eastAsia" w:asciiTheme="minorEastAsia" w:hAnsiTheme="minorEastAsia" w:eastAsiaTheme="minorEastAsia" w:cstheme="minorEastAsia"/>
                <w:color w:val="000000" w:themeColor="text1"/>
                <w14:textFill>
                  <w14:solidFill>
                    <w14:schemeClr w14:val="tx1"/>
                  </w14:solidFill>
                </w14:textFill>
              </w:rPr>
              <w:t>为固定总价包干</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合同价</w:t>
            </w:r>
            <w:r>
              <w:rPr>
                <w:rFonts w:hint="eastAsia" w:asciiTheme="minorEastAsia" w:hAnsiTheme="minorEastAsia" w:eastAsiaTheme="minorEastAsia" w:cstheme="minorEastAsia"/>
                <w:color w:val="000000" w:themeColor="text1"/>
                <w14:textFill>
                  <w14:solidFill>
                    <w14:schemeClr w14:val="tx1"/>
                  </w14:solidFill>
                </w14:textFill>
              </w:rPr>
              <w:t>包括但不限于环境影响评价（含现状调查、监测、报告编制、评审等）、突发环境事件应急预案编制及备案</w:t>
            </w:r>
            <w:bookmarkStart w:id="284" w:name="_GoBack"/>
            <w:bookmarkEnd w:id="284"/>
            <w:r>
              <w:rPr>
                <w:rFonts w:hint="eastAsia" w:asciiTheme="minorEastAsia" w:hAnsiTheme="minorEastAsia" w:eastAsiaTheme="minorEastAsia" w:cstheme="minorEastAsia"/>
                <w:color w:val="000000" w:themeColor="text1"/>
                <w14:textFill>
                  <w14:solidFill>
                    <w14:schemeClr w14:val="tx1"/>
                  </w14:solidFill>
                </w14:textFill>
              </w:rPr>
              <w:t>（含风险评估、资源调查、预案撰写、专家评审）及竣工环境保护验收（含验收监测、验收报告编制、专家评审、备案协助等）等相关技术服务产生的费用，自主办公费（办公耗材、照明、水、通讯）、印刷费、交通费、税费等其他相关费用及合同实施过程中应预见和不可预见的所有费用。</w:t>
            </w:r>
          </w:p>
          <w:p w14:paraId="3CC7A09B">
            <w:pPr>
              <w:snapToGrid/>
              <w:spacing w:line="300" w:lineRule="auto"/>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（二）项目费用分</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四</w:t>
            </w:r>
            <w:r>
              <w:rPr>
                <w:rFonts w:hint="eastAsia" w:asciiTheme="minorEastAsia" w:hAnsiTheme="minorEastAsia" w:eastAsiaTheme="minorEastAsia" w:cstheme="minorEastAsia"/>
                <w:color w:val="000000" w:themeColor="text1"/>
                <w14:textFill>
                  <w14:solidFill>
                    <w14:schemeClr w14:val="tx1"/>
                  </w14:solidFill>
                </w14:textFill>
              </w:rPr>
              <w:t>次付款：</w:t>
            </w:r>
          </w:p>
          <w:p w14:paraId="1C97373B">
            <w:pPr>
              <w:snapToGrid/>
              <w:spacing w:line="300" w:lineRule="auto"/>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1</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预付款：</w:t>
            </w:r>
            <w:r>
              <w:rPr>
                <w:rFonts w:hint="eastAsia" w:asciiTheme="minorEastAsia" w:hAnsiTheme="minorEastAsia" w:eastAsiaTheme="minorEastAsia" w:cstheme="minorEastAsia"/>
                <w:color w:val="000000" w:themeColor="text1"/>
                <w14:textFill>
                  <w14:solidFill>
                    <w14:schemeClr w14:val="tx1"/>
                  </w14:solidFill>
                </w14:textFill>
              </w:rPr>
              <w:t>合同签订后，</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14:textFill>
                  <w14:solidFill>
                    <w14:schemeClr w14:val="tx1"/>
                  </w14:solidFill>
                </w14:textFill>
              </w:rPr>
              <w:t>收到</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中标人提交</w:t>
            </w:r>
            <w:r>
              <w:rPr>
                <w:rFonts w:hint="eastAsia"/>
              </w:rPr>
              <w:t>有效的增值税专用发票和请款资料</w:t>
            </w:r>
            <w:r>
              <w:rPr>
                <w:rFonts w:hint="eastAsia"/>
                <w:lang w:val="en-US" w:eastAsia="zh-CN"/>
              </w:rPr>
              <w:t>后</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30个日历</w:t>
            </w:r>
            <w:r>
              <w:rPr>
                <w:rFonts w:hint="eastAsia" w:asciiTheme="minorEastAsia" w:hAnsiTheme="minorEastAsia" w:eastAsiaTheme="minorEastAsia" w:cstheme="minorEastAsia"/>
                <w:color w:val="000000" w:themeColor="text1"/>
                <w14:textFill>
                  <w14:solidFill>
                    <w14:schemeClr w14:val="tx1"/>
                  </w14:solidFill>
                </w14:textFill>
              </w:rPr>
              <w:t>日内支付合同总</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价</w:t>
            </w:r>
            <w:r>
              <w:rPr>
                <w:rFonts w:hint="eastAsia" w:asciiTheme="minorEastAsia" w:hAnsiTheme="minorEastAsia" w:eastAsiaTheme="minorEastAsia" w:cstheme="minorEastAsia"/>
                <w:color w:val="000000" w:themeColor="text1"/>
                <w14:textFill>
                  <w14:solidFill>
                    <w14:schemeClr w14:val="tx1"/>
                  </w14:solidFill>
                </w14:textFill>
              </w:rPr>
              <w:t>的20</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％作为预付款</w:t>
            </w:r>
            <w:r>
              <w:rPr>
                <w:rFonts w:hint="eastAsia" w:asciiTheme="minorEastAsia" w:hAnsiTheme="minorEastAsia" w:eastAsiaTheme="minorEastAsia" w:cstheme="minorEastAsia"/>
                <w:color w:val="000000" w:themeColor="text1"/>
                <w14:textFill>
                  <w14:solidFill>
                    <w14:schemeClr w14:val="tx1"/>
                  </w14:solidFill>
                </w14:textFill>
              </w:rPr>
              <w:t>。</w:t>
            </w:r>
          </w:p>
          <w:p w14:paraId="630D3684">
            <w:pPr>
              <w:snapToGrid/>
              <w:spacing w:line="300" w:lineRule="auto"/>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中标人完成</w:t>
            </w:r>
            <w:r>
              <w:rPr>
                <w:rFonts w:hint="eastAsia" w:asciiTheme="minorEastAsia" w:hAnsiTheme="minorEastAsia" w:eastAsiaTheme="minorEastAsia" w:cstheme="minorEastAsia"/>
                <w:color w:val="000000" w:themeColor="text1"/>
                <w14:textFill>
                  <w14:solidFill>
                    <w14:schemeClr w14:val="tx1"/>
                  </w14:solidFill>
                </w14:textFill>
              </w:rPr>
              <w:t>环境影响评价报告</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编制</w:t>
            </w:r>
            <w:r>
              <w:rPr>
                <w:rFonts w:hint="eastAsia" w:asciiTheme="minorEastAsia" w:hAnsiTheme="minorEastAsia" w:eastAsiaTheme="minorEastAsia" w:cstheme="minorEastAsia"/>
                <w:color w:val="000000" w:themeColor="text1"/>
                <w14:textFill>
                  <w14:solidFill>
                    <w14:schemeClr w14:val="tx1"/>
                  </w14:solidFill>
                </w14:textFill>
              </w:rPr>
              <w:t>并取得环评批复，采购人收到</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以下资料【</w:t>
            </w:r>
            <w:r>
              <w:rPr>
                <w:rFonts w:hint="eastAsia" w:asciiTheme="minorEastAsia" w:hAnsiTheme="minorEastAsia" w:eastAsiaTheme="minorEastAsia" w:cstheme="minorEastAsia"/>
                <w:color w:val="000000" w:themeColor="text1"/>
                <w14:textFill>
                  <w14:solidFill>
                    <w14:schemeClr w14:val="tx1"/>
                  </w14:solidFill>
                </w14:textFill>
              </w:rPr>
              <w:t>①生态环境部门出具的正式环评批复文件（原件扫描件/复印件并加盖中标人公章）；②最终版正式环境影响评价报告书（报批终稿，纸质+电子版）；③本阶段等额增值税专用发票</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后</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30</w:t>
            </w:r>
            <w:r>
              <w:rPr>
                <w:rFonts w:hint="eastAsia" w:asciiTheme="minorEastAsia" w:hAnsiTheme="minorEastAsia" w:eastAsiaTheme="minorEastAsia" w:cstheme="minorEastAsia"/>
                <w:color w:val="000000" w:themeColor="text1"/>
                <w14:textFill>
                  <w14:solidFill>
                    <w14:schemeClr w14:val="tx1"/>
                  </w14:solidFill>
                </w14:textFill>
              </w:rPr>
              <w:t>个</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日历</w:t>
            </w:r>
            <w:r>
              <w:rPr>
                <w:rFonts w:hint="eastAsia" w:asciiTheme="minorEastAsia" w:hAnsiTheme="minorEastAsia" w:eastAsiaTheme="minorEastAsia" w:cstheme="minorEastAsia"/>
                <w:color w:val="000000" w:themeColor="text1"/>
                <w14:textFill>
                  <w14:solidFill>
                    <w14:schemeClr w14:val="tx1"/>
                  </w14:solidFill>
                </w14:textFill>
              </w:rPr>
              <w:t>日内，采购人向中标人支付</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至</w:t>
            </w:r>
            <w:r>
              <w:rPr>
                <w:rFonts w:hint="eastAsia" w:asciiTheme="minorEastAsia" w:hAnsiTheme="minorEastAsia" w:eastAsiaTheme="minorEastAsia" w:cstheme="minorEastAsia"/>
                <w:color w:val="000000" w:themeColor="text1"/>
                <w14:textFill>
                  <w14:solidFill>
                    <w14:schemeClr w14:val="tx1"/>
                  </w14:solidFill>
                </w14:textFill>
              </w:rPr>
              <w:t>合同总价的</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14:textFill>
                  <w14:solidFill>
                    <w14:schemeClr w14:val="tx1"/>
                  </w14:solidFill>
                </w14:textFill>
              </w:rPr>
              <w:t>0</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w:t>
            </w:r>
          </w:p>
          <w:p w14:paraId="625BE584">
            <w:pPr>
              <w:snapToGrid/>
              <w:spacing w:line="300" w:lineRule="auto"/>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中标人完成突发环境事件应急预案编制及备案，采购人收到</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以下资料【</w:t>
            </w:r>
            <w:r>
              <w:rPr>
                <w:rFonts w:hint="eastAsia" w:asciiTheme="minorEastAsia" w:hAnsiTheme="minorEastAsia" w:eastAsiaTheme="minorEastAsia" w:cstheme="minorEastAsia"/>
                <w:color w:val="000000" w:themeColor="text1"/>
                <w14:textFill>
                  <w14:solidFill>
                    <w14:schemeClr w14:val="tx1"/>
                  </w14:solidFill>
                </w14:textFill>
              </w:rPr>
              <w:t>①突发环境事件应急预案正式文本；②应急预案备案回执/备案证明文件；③本阶段等额增值税专用发票</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后</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30</w:t>
            </w:r>
            <w:r>
              <w:rPr>
                <w:rFonts w:hint="eastAsia" w:asciiTheme="minorEastAsia" w:hAnsiTheme="minorEastAsia" w:eastAsiaTheme="minorEastAsia" w:cstheme="minorEastAsia"/>
                <w:color w:val="000000" w:themeColor="text1"/>
                <w14:textFill>
                  <w14:solidFill>
                    <w14:schemeClr w14:val="tx1"/>
                  </w14:solidFill>
                </w14:textFill>
              </w:rPr>
              <w:t>个</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日历</w:t>
            </w:r>
            <w:r>
              <w:rPr>
                <w:rFonts w:hint="eastAsia" w:asciiTheme="minorEastAsia" w:hAnsiTheme="minorEastAsia" w:eastAsiaTheme="minorEastAsia" w:cstheme="minorEastAsia"/>
                <w:color w:val="000000" w:themeColor="text1"/>
                <w14:textFill>
                  <w14:solidFill>
                    <w14:schemeClr w14:val="tx1"/>
                  </w14:solidFill>
                </w14:textFill>
              </w:rPr>
              <w:t>日内，采购人向中标人支付</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至</w:t>
            </w:r>
            <w:r>
              <w:rPr>
                <w:rFonts w:hint="eastAsia" w:asciiTheme="minorEastAsia" w:hAnsiTheme="minorEastAsia" w:eastAsiaTheme="minorEastAsia" w:cstheme="minorEastAsia"/>
                <w:color w:val="000000" w:themeColor="text1"/>
                <w14:textFill>
                  <w14:solidFill>
                    <w14:schemeClr w14:val="tx1"/>
                  </w14:solidFill>
                </w14:textFill>
              </w:rPr>
              <w:t>合同总价的</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14:textFill>
                  <w14:solidFill>
                    <w14:schemeClr w14:val="tx1"/>
                  </w14:solidFill>
                </w14:textFill>
              </w:rPr>
              <w:t>0</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w:t>
            </w:r>
          </w:p>
          <w:p w14:paraId="48B962E7">
            <w:pPr>
              <w:snapToGrid/>
              <w:spacing w:line="300" w:lineRule="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中标人完成竣工环境保护验收并通过专家验收，采购人收到</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以下资料【</w:t>
            </w:r>
            <w:r>
              <w:rPr>
                <w:rFonts w:hint="eastAsia" w:asciiTheme="minorEastAsia" w:hAnsiTheme="minorEastAsia" w:eastAsiaTheme="minorEastAsia" w:cstheme="minorEastAsia"/>
                <w:color w:val="000000" w:themeColor="text1"/>
                <w14:textFill>
                  <w14:solidFill>
                    <w14:schemeClr w14:val="tx1"/>
                  </w14:solidFill>
                </w14:textFill>
              </w:rPr>
              <w:t>①竣工环保验收报告全套文本；②验收专家评审意见、验收公示证明材料；③竣工环保验收相关全套支撑资料；④本阶段等额增值税专用发票</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后</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30</w:t>
            </w:r>
            <w:r>
              <w:rPr>
                <w:rFonts w:hint="eastAsia" w:asciiTheme="minorEastAsia" w:hAnsiTheme="minorEastAsia" w:eastAsiaTheme="minorEastAsia" w:cstheme="minorEastAsia"/>
                <w:color w:val="000000" w:themeColor="text1"/>
                <w14:textFill>
                  <w14:solidFill>
                    <w14:schemeClr w14:val="tx1"/>
                  </w14:solidFill>
                </w14:textFill>
              </w:rPr>
              <w:t>个</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日历日</w:t>
            </w:r>
            <w:r>
              <w:rPr>
                <w:rFonts w:hint="eastAsia" w:asciiTheme="minorEastAsia" w:hAnsiTheme="minorEastAsia" w:eastAsiaTheme="minorEastAsia" w:cstheme="minorEastAsia"/>
                <w:color w:val="000000" w:themeColor="text1"/>
                <w14:textFill>
                  <w14:solidFill>
                    <w14:schemeClr w14:val="tx1"/>
                  </w14:solidFill>
                </w14:textFill>
              </w:rPr>
              <w:t>内，采购人向中标人</w:t>
            </w:r>
            <w:r>
              <w:rPr>
                <w:rFonts w:hint="eastAsia" w:asciiTheme="minorEastAsia" w:hAnsiTheme="minorEastAsia" w:eastAsiaTheme="minorEastAsia" w:cstheme="minorEastAsia"/>
                <w:color w:val="auto"/>
              </w:rPr>
              <w:t>支付</w:t>
            </w:r>
            <w:r>
              <w:rPr>
                <w:rFonts w:hint="eastAsia" w:asciiTheme="minorEastAsia" w:hAnsiTheme="minorEastAsia" w:eastAsiaTheme="minorEastAsia" w:cstheme="minorEastAsia"/>
                <w:color w:val="auto"/>
                <w:lang w:val="en-US" w:eastAsia="zh-CN"/>
              </w:rPr>
              <w:t>至</w:t>
            </w:r>
            <w:r>
              <w:rPr>
                <w:rFonts w:hint="eastAsia" w:asciiTheme="minorEastAsia" w:hAnsiTheme="minorEastAsia" w:eastAsiaTheme="minorEastAsia" w:cstheme="minorEastAsia"/>
                <w:color w:val="auto"/>
              </w:rPr>
              <w:t>合同总价的</w:t>
            </w:r>
            <w:r>
              <w:rPr>
                <w:rFonts w:hint="eastAsia" w:asciiTheme="minorEastAsia" w:hAnsiTheme="minorEastAsia" w:eastAsiaTheme="minorEastAsia" w:cstheme="minorEastAsia"/>
                <w:color w:val="auto"/>
                <w:lang w:val="en-US" w:eastAsia="zh-CN"/>
              </w:rPr>
              <w:t>100</w:t>
            </w:r>
            <w:r>
              <w:rPr>
                <w:rFonts w:hint="eastAsia" w:asciiTheme="minorEastAsia" w:hAnsiTheme="minorEastAsia" w:eastAsiaTheme="minorEastAsia" w:cstheme="minorEastAsia"/>
                <w:color w:val="auto"/>
                <w:sz w:val="21"/>
                <w:szCs w:val="21"/>
                <w:lang w:val="en-US" w:eastAsia="zh-CN"/>
              </w:rPr>
              <w:t>％</w:t>
            </w:r>
            <w:r>
              <w:rPr>
                <w:rFonts w:hint="eastAsia" w:asciiTheme="minorEastAsia" w:hAnsiTheme="minorEastAsia" w:eastAsiaTheme="minorEastAsia" w:cstheme="minorEastAsia"/>
                <w:color w:val="auto"/>
              </w:rPr>
              <w:t>。</w:t>
            </w:r>
          </w:p>
          <w:p w14:paraId="1409D90A">
            <w:pPr>
              <w:snapToGrid/>
              <w:spacing w:line="300" w:lineRule="auto"/>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auto"/>
                <w:lang w:val="en-US" w:eastAsia="zh-CN"/>
              </w:rPr>
              <w:t>5</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rPr>
              <w:t>若因</w:t>
            </w:r>
            <w:r>
              <w:rPr>
                <w:rFonts w:hint="eastAsia" w:asciiTheme="minorEastAsia" w:hAnsiTheme="minorEastAsia" w:eastAsiaTheme="minorEastAsia" w:cstheme="minorEastAsia"/>
                <w:color w:val="auto"/>
                <w:lang w:val="en-US" w:eastAsia="zh-CN"/>
              </w:rPr>
              <w:t>中标人</w:t>
            </w:r>
            <w:r>
              <w:rPr>
                <w:rFonts w:hint="eastAsia" w:asciiTheme="minorEastAsia" w:hAnsiTheme="minorEastAsia" w:eastAsiaTheme="minorEastAsia" w:cstheme="minorEastAsia"/>
                <w:color w:val="auto"/>
              </w:rPr>
              <w:t>单方原因，导致其未能</w:t>
            </w:r>
            <w:r>
              <w:rPr>
                <w:rFonts w:hint="eastAsia" w:asciiTheme="minorEastAsia" w:hAnsiTheme="minorEastAsia" w:eastAsiaTheme="minorEastAsia" w:cstheme="minorEastAsia"/>
                <w:color w:val="auto"/>
                <w:lang w:val="en-US" w:eastAsia="zh-CN"/>
              </w:rPr>
              <w:t>满足</w:t>
            </w:r>
            <w:r>
              <w:rPr>
                <w:rFonts w:hint="eastAsia" w:asciiTheme="minorEastAsia" w:hAnsiTheme="minorEastAsia" w:eastAsiaTheme="minorEastAsia" w:cstheme="minorEastAsia"/>
                <w:color w:val="auto"/>
              </w:rPr>
              <w:t>相应服务周期内向采购</w:t>
            </w:r>
            <w:r>
              <w:rPr>
                <w:rFonts w:hint="eastAsia" w:asciiTheme="minorEastAsia" w:hAnsiTheme="minorEastAsia" w:eastAsiaTheme="minorEastAsia" w:cstheme="minorEastAsia"/>
                <w:color w:val="auto"/>
                <w:lang w:val="en-US" w:eastAsia="zh-CN"/>
              </w:rPr>
              <w:t>人</w:t>
            </w:r>
            <w:r>
              <w:rPr>
                <w:rFonts w:hint="eastAsia" w:asciiTheme="minorEastAsia" w:hAnsiTheme="minorEastAsia" w:eastAsiaTheme="minorEastAsia" w:cstheme="minorEastAsia"/>
                <w:color w:val="auto"/>
              </w:rPr>
              <w:t>交付关键阶段性成果（包括但不限于《环境影响评价</w:t>
            </w:r>
            <w:r>
              <w:rPr>
                <w:rFonts w:hint="eastAsia" w:asciiTheme="minorEastAsia" w:hAnsiTheme="minorEastAsia" w:eastAsiaTheme="minorEastAsia" w:cstheme="minorEastAsia"/>
                <w:color w:val="000000" w:themeColor="text1"/>
                <w14:textFill>
                  <w14:solidFill>
                    <w14:schemeClr w14:val="tx1"/>
                  </w14:solidFill>
                </w14:textFill>
              </w:rPr>
              <w:t>报告书送审稿》、环评批复文件、《突发环境事件应急预案备案回执》《竣工环境保护验收专家评审意见》）的，则构成进度延误。</w:t>
            </w:r>
          </w:p>
          <w:p w14:paraId="3BF20DC8">
            <w:pPr>
              <w:snapToGrid/>
              <w:spacing w:line="300" w:lineRule="auto"/>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发生进度延误后，采购</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14:textFill>
                  <w14:solidFill>
                    <w14:schemeClr w14:val="tx1"/>
                  </w14:solidFill>
                </w14:textFill>
              </w:rPr>
              <w:t>有权采取以下措施：</w:t>
            </w:r>
          </w:p>
          <w:p w14:paraId="1227062A">
            <w:pPr>
              <w:snapToGrid/>
              <w:spacing w:line="300" w:lineRule="auto"/>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（1）暂停付款：在延误事实持续期间，采购</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人</w:t>
            </w:r>
            <w:r>
              <w:rPr>
                <w:rFonts w:hint="eastAsia" w:asciiTheme="minorEastAsia" w:hAnsiTheme="minorEastAsia" w:eastAsiaTheme="minorEastAsia" w:cstheme="minorEastAsia"/>
                <w:color w:val="000000" w:themeColor="text1"/>
                <w14:textFill>
                  <w14:solidFill>
                    <w14:schemeClr w14:val="tx1"/>
                  </w14:solidFill>
                </w14:textFill>
              </w:rPr>
              <w:t>有权暂停支付下一笔合同款项，直至</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中标人</w:t>
            </w:r>
            <w:r>
              <w:rPr>
                <w:rFonts w:hint="eastAsia" w:asciiTheme="minorEastAsia" w:hAnsiTheme="minorEastAsia" w:eastAsiaTheme="minorEastAsia" w:cstheme="minorEastAsia"/>
                <w:color w:val="000000" w:themeColor="text1"/>
                <w14:textFill>
                  <w14:solidFill>
                    <w14:schemeClr w14:val="tx1"/>
                  </w14:solidFill>
                </w14:textFill>
              </w:rPr>
              <w:t>提交该延误的阶段性成果为止。该暂停付款行为不视为</w:t>
            </w:r>
            <w:r>
              <w:rPr>
                <w:rFonts w:hint="eastAsia" w:asciiTheme="minorEastAsia" w:hAnsiTheme="minorEastAsia" w:eastAsiaTheme="minorEastAsia" w:cstheme="minorEastAsia"/>
                <w:color w:val="000000" w:themeColor="text1"/>
                <w:lang w:eastAsia="zh-CN"/>
                <w14:textFill>
                  <w14:solidFill>
                    <w14:schemeClr w14:val="tx1"/>
                  </w14:solidFill>
                </w14:textFill>
              </w:rPr>
              <w:t>采购人</w:t>
            </w:r>
            <w:r>
              <w:rPr>
                <w:rFonts w:hint="eastAsia" w:asciiTheme="minorEastAsia" w:hAnsiTheme="minorEastAsia" w:eastAsiaTheme="minorEastAsia" w:cstheme="minorEastAsia"/>
                <w:color w:val="000000" w:themeColor="text1"/>
                <w14:textFill>
                  <w14:solidFill>
                    <w14:schemeClr w14:val="tx1"/>
                  </w14:solidFill>
                </w14:textFill>
              </w:rPr>
              <w:t>违约，且</w:t>
            </w:r>
            <w:r>
              <w:rPr>
                <w:rFonts w:hint="eastAsia" w:asciiTheme="minorEastAsia" w:hAnsiTheme="minorEastAsia" w:eastAsiaTheme="minorEastAsia" w:cstheme="minorEastAsia"/>
                <w:color w:val="000000" w:themeColor="text1"/>
                <w:lang w:eastAsia="zh-CN"/>
                <w14:textFill>
                  <w14:solidFill>
                    <w14:schemeClr w14:val="tx1"/>
                  </w14:solidFill>
                </w14:textFill>
              </w:rPr>
              <w:t>中标人</w:t>
            </w:r>
            <w:r>
              <w:rPr>
                <w:rFonts w:hint="eastAsia" w:asciiTheme="minorEastAsia" w:hAnsiTheme="minorEastAsia" w:eastAsiaTheme="minorEastAsia" w:cstheme="minorEastAsia"/>
                <w:color w:val="000000" w:themeColor="text1"/>
                <w14:textFill>
                  <w14:solidFill>
                    <w14:schemeClr w14:val="tx1"/>
                  </w14:solidFill>
                </w14:textFill>
              </w:rPr>
              <w:t>的合同义务不因付款暂停而免除。</w:t>
            </w:r>
          </w:p>
          <w:p w14:paraId="6426E406">
            <w:pPr>
              <w:snapToGrid/>
              <w:spacing w:line="300" w:lineRule="auto"/>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lang w:eastAsia="zh-CN"/>
                <w14:textFill>
                  <w14:solidFill>
                    <w14:schemeClr w14:val="tx1"/>
                  </w14:solidFill>
                </w14:textFill>
              </w:rPr>
              <w:t>应按本合同规定的金额和时间向</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中标人</w:t>
            </w:r>
            <w:r>
              <w:rPr>
                <w:rFonts w:hint="eastAsia" w:asciiTheme="minorEastAsia" w:hAnsiTheme="minorEastAsia" w:eastAsiaTheme="minorEastAsia" w:cstheme="minorEastAsia"/>
                <w:color w:val="000000" w:themeColor="text1"/>
                <w:lang w:eastAsia="zh-CN"/>
                <w14:textFill>
                  <w14:solidFill>
                    <w14:schemeClr w14:val="tx1"/>
                  </w14:solidFill>
                </w14:textFill>
              </w:rPr>
              <w:t>支付合同价款，</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若采购人逾期付款且经中标人书面催告后仍未支付，</w:t>
            </w:r>
            <w:r>
              <w:rPr>
                <w:rFonts w:hint="eastAsia" w:asciiTheme="minorEastAsia" w:hAnsiTheme="minorEastAsia" w:eastAsiaTheme="minorEastAsia" w:cstheme="minorEastAsia"/>
                <w:color w:val="000000" w:themeColor="text1"/>
                <w:lang w:eastAsia="zh-CN"/>
                <w14:textFill>
                  <w14:solidFill>
                    <w14:schemeClr w14:val="tx1"/>
                  </w14:solidFill>
                </w14:textFill>
              </w:rPr>
              <w:t xml:space="preserve">每逾期一天，应承担应付未付金额 </w:t>
            </w:r>
            <w:r>
              <w:rPr>
                <w:rFonts w:asciiTheme="minorEastAsia" w:hAnsiTheme="minorEastAsia" w:eastAsiaTheme="minorEastAsia"/>
                <w:sz w:val="24"/>
                <w:szCs w:val="24"/>
                <w:u w:val="single"/>
              </w:rPr>
              <w:t xml:space="preserve">1 </w:t>
            </w:r>
            <w:r>
              <w:rPr>
                <w:rFonts w:hint="eastAsia" w:asciiTheme="minorEastAsia" w:hAnsiTheme="minorEastAsia" w:eastAsiaTheme="minorEastAsia"/>
                <w:sz w:val="24"/>
                <w:szCs w:val="24"/>
                <w:u w:val="single"/>
              </w:rPr>
              <w:t>‰</w:t>
            </w:r>
            <w:r>
              <w:rPr>
                <w:rFonts w:hint="eastAsia" w:asciiTheme="minorEastAsia" w:hAnsiTheme="minorEastAsia" w:eastAsiaTheme="minorEastAsia" w:cstheme="minorEastAsia"/>
                <w:color w:val="000000" w:themeColor="text1"/>
                <w:lang w:eastAsia="zh-CN"/>
                <w14:textFill>
                  <w14:solidFill>
                    <w14:schemeClr w14:val="tx1"/>
                  </w14:solidFill>
                </w14:textFill>
              </w:rPr>
              <w:t>的逾期违约金，违约金总额最高不超过本合同总额的10</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14:paraId="54D17E23">
            <w:pPr>
              <w:snapToGrid/>
              <w:spacing w:line="300" w:lineRule="auto"/>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8、中标人</w:t>
            </w:r>
            <w:r>
              <w:rPr>
                <w:rFonts w:hint="eastAsia" w:asciiTheme="minorEastAsia" w:hAnsiTheme="minorEastAsia" w:eastAsiaTheme="minorEastAsia" w:cstheme="minorEastAsia"/>
                <w:color w:val="000000" w:themeColor="text1"/>
                <w:lang w:eastAsia="zh-CN"/>
                <w14:textFill>
                  <w14:solidFill>
                    <w14:schemeClr w14:val="tx1"/>
                  </w14:solidFill>
                </w14:textFill>
              </w:rPr>
              <w:t>必须按</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本合同约定服务期（工期）及交付成果要求</w:t>
            </w:r>
            <w:r>
              <w:rPr>
                <w:rFonts w:hint="eastAsia" w:asciiTheme="minorEastAsia" w:hAnsiTheme="minorEastAsia" w:eastAsiaTheme="minorEastAsia" w:cstheme="minorEastAsia"/>
                <w:color w:val="000000" w:themeColor="text1"/>
                <w:lang w:eastAsia="zh-CN"/>
                <w14:textFill>
                  <w14:solidFill>
                    <w14:schemeClr w14:val="tx1"/>
                  </w14:solidFill>
                </w14:textFill>
              </w:rPr>
              <w:t>完成各项任务，如果因</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中标人</w:t>
            </w:r>
            <w:r>
              <w:rPr>
                <w:rFonts w:hint="eastAsia" w:asciiTheme="minorEastAsia" w:hAnsiTheme="minorEastAsia" w:eastAsiaTheme="minorEastAsia" w:cstheme="minorEastAsia"/>
                <w:color w:val="000000" w:themeColor="text1"/>
                <w:lang w:eastAsia="zh-CN"/>
                <w14:textFill>
                  <w14:solidFill>
                    <w14:schemeClr w14:val="tx1"/>
                  </w14:solidFill>
                </w14:textFill>
              </w:rPr>
              <w:t>原因造成工期延误,逾期十五日内，每逾期一日，应按合同总额的</w:t>
            </w:r>
            <w:r>
              <w:rPr>
                <w:rFonts w:asciiTheme="minorEastAsia" w:hAnsiTheme="minorEastAsia" w:eastAsiaTheme="minorEastAsia"/>
                <w:sz w:val="24"/>
                <w:szCs w:val="24"/>
                <w:u w:val="single"/>
              </w:rPr>
              <w:t xml:space="preserve"> 1 </w:t>
            </w:r>
            <w:r>
              <w:rPr>
                <w:rFonts w:hint="eastAsia" w:asciiTheme="minorEastAsia" w:hAnsiTheme="minorEastAsia" w:eastAsiaTheme="minorEastAsia"/>
                <w:sz w:val="24"/>
                <w:szCs w:val="24"/>
                <w:u w:val="single"/>
              </w:rPr>
              <w:t>‰</w:t>
            </w:r>
            <w:r>
              <w:rPr>
                <w:rFonts w:hint="eastAsia" w:asciiTheme="minorEastAsia" w:hAnsiTheme="minorEastAsia" w:eastAsiaTheme="minorEastAsia" w:cstheme="minorEastAsia"/>
                <w:color w:val="000000" w:themeColor="text1"/>
                <w:lang w:eastAsia="zh-CN"/>
                <w14:textFill>
                  <w14:solidFill>
                    <w14:schemeClr w14:val="tx1"/>
                  </w14:solidFill>
                </w14:textFill>
              </w:rPr>
              <w:t>向</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lang w:eastAsia="zh-CN"/>
                <w14:textFill>
                  <w14:solidFill>
                    <w14:schemeClr w14:val="tx1"/>
                  </w14:solidFill>
                </w14:textFill>
              </w:rPr>
              <w:t>支付违约金及赔偿</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lang w:eastAsia="zh-CN"/>
                <w14:textFill>
                  <w14:solidFill>
                    <w14:schemeClr w14:val="tx1"/>
                  </w14:solidFill>
                </w14:textFill>
              </w:rPr>
              <w:t>损失；逾期超过十五日</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lang w:eastAsia="zh-CN"/>
                <w14:textFill>
                  <w14:solidFill>
                    <w14:schemeClr w14:val="tx1"/>
                  </w14:solidFill>
                </w14:textFill>
              </w:rPr>
              <w:t>有权单方解除本合同，</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中标人</w:t>
            </w:r>
            <w:r>
              <w:rPr>
                <w:rFonts w:hint="eastAsia" w:asciiTheme="minorEastAsia" w:hAnsiTheme="minorEastAsia" w:eastAsiaTheme="minorEastAsia" w:cstheme="minorEastAsia"/>
                <w:color w:val="000000" w:themeColor="text1"/>
                <w:lang w:eastAsia="zh-CN"/>
                <w14:textFill>
                  <w14:solidFill>
                    <w14:schemeClr w14:val="tx1"/>
                  </w14:solidFill>
                </w14:textFill>
              </w:rPr>
              <w:t>除支付逾期违约金外，还应按合同总价款的30</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lang w:eastAsia="zh-CN"/>
                <w14:textFill>
                  <w14:solidFill>
                    <w14:schemeClr w14:val="tx1"/>
                  </w14:solidFill>
                </w14:textFill>
              </w:rPr>
              <w:t>向</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lang w:eastAsia="zh-CN"/>
                <w14:textFill>
                  <w14:solidFill>
                    <w14:schemeClr w14:val="tx1"/>
                  </w14:solidFill>
                </w14:textFill>
              </w:rPr>
              <w:t>支付违约金，并赔偿</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lang w:eastAsia="zh-CN"/>
                <w14:textFill>
                  <w14:solidFill>
                    <w14:schemeClr w14:val="tx1"/>
                  </w14:solidFill>
                </w14:textFill>
              </w:rPr>
              <w:t>损失。如果因</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lang w:eastAsia="zh-CN"/>
                <w14:textFill>
                  <w14:solidFill>
                    <w14:schemeClr w14:val="tx1"/>
                  </w14:solidFill>
                </w14:textFill>
              </w:rPr>
              <w:t>原因造成工期延误，工期顺延，</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lang w:eastAsia="zh-CN"/>
                <w14:textFill>
                  <w14:solidFill>
                    <w14:schemeClr w14:val="tx1"/>
                  </w14:solidFill>
                </w14:textFill>
              </w:rPr>
              <w:t>无需承担其他责任。</w:t>
            </w:r>
          </w:p>
          <w:p w14:paraId="090DF4B9">
            <w:pPr>
              <w:snapToGrid/>
              <w:spacing w:line="300" w:lineRule="auto"/>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9、中标人根据本合同约定出具的各项报告不符合合同约定或未通过专家评审</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中标人未按合同约定完成</w:t>
            </w:r>
            <w:r>
              <w:rPr>
                <w:rFonts w:hint="eastAsia" w:asciiTheme="minorEastAsia" w:hAnsiTheme="minorEastAsia" w:eastAsiaTheme="minorEastAsia" w:cstheme="minorEastAsia"/>
                <w:color w:val="000000" w:themeColor="text1"/>
                <w:lang w:eastAsia="zh-CN"/>
                <w14:textFill>
                  <w14:solidFill>
                    <w14:schemeClr w14:val="tx1"/>
                  </w14:solidFill>
                </w14:textFill>
              </w:rPr>
              <w:t>项目环保竣工验收公开、登记相关信息并建立档案</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等相关工作或有其他违反本合同约定的行为的，</w:t>
            </w:r>
            <w:r>
              <w:rPr>
                <w:rFonts w:hint="eastAsia" w:asciiTheme="minorEastAsia" w:hAnsiTheme="minorEastAsia" w:eastAsiaTheme="minorEastAsia" w:cstheme="minorEastAsia"/>
                <w:color w:val="000000" w:themeColor="text1"/>
                <w:lang w:eastAsia="zh-CN"/>
                <w14:textFill>
                  <w14:solidFill>
                    <w14:schemeClr w14:val="tx1"/>
                  </w14:solidFill>
                </w14:textFill>
              </w:rPr>
              <w:t>应按</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lang w:eastAsia="zh-CN"/>
                <w14:textFill>
                  <w14:solidFill>
                    <w14:schemeClr w14:val="tx1"/>
                  </w14:solidFill>
                </w14:textFill>
              </w:rPr>
              <w:t>要求复测、重测并重新出具</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报告或进行其他整改</w:t>
            </w:r>
            <w:r>
              <w:rPr>
                <w:rFonts w:hint="eastAsia" w:asciiTheme="minorEastAsia" w:hAnsiTheme="minorEastAsia" w:eastAsiaTheme="minorEastAsia" w:cstheme="minorEastAsia"/>
                <w:color w:val="000000" w:themeColor="text1"/>
                <w:lang w:eastAsia="zh-CN"/>
                <w14:textFill>
                  <w14:solidFill>
                    <w14:schemeClr w14:val="tx1"/>
                  </w14:solidFill>
                </w14:textFill>
              </w:rPr>
              <w:t>，经整改后</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仍存在前述违约情形的</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lang w:eastAsia="zh-CN"/>
                <w14:textFill>
                  <w14:solidFill>
                    <w14:schemeClr w14:val="tx1"/>
                  </w14:solidFill>
                </w14:textFill>
              </w:rPr>
              <w:t>有权解除合同，</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中标人</w:t>
            </w:r>
            <w:r>
              <w:rPr>
                <w:rFonts w:hint="eastAsia" w:asciiTheme="minorEastAsia" w:hAnsiTheme="minorEastAsia" w:eastAsiaTheme="minorEastAsia" w:cstheme="minorEastAsia"/>
                <w:color w:val="000000" w:themeColor="text1"/>
                <w:lang w:eastAsia="zh-CN"/>
                <w14:textFill>
                  <w14:solidFill>
                    <w14:schemeClr w14:val="tx1"/>
                  </w14:solidFill>
                </w14:textFill>
              </w:rPr>
              <w:t>应向</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lang w:eastAsia="zh-CN"/>
                <w14:textFill>
                  <w14:solidFill>
                    <w14:schemeClr w14:val="tx1"/>
                  </w14:solidFill>
                </w14:textFill>
              </w:rPr>
              <w:t>退回全部款项，且</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中标人</w:t>
            </w:r>
            <w:r>
              <w:rPr>
                <w:rFonts w:hint="eastAsia" w:asciiTheme="minorEastAsia" w:hAnsiTheme="minorEastAsia" w:eastAsiaTheme="minorEastAsia" w:cstheme="minorEastAsia"/>
                <w:color w:val="000000" w:themeColor="text1"/>
                <w:lang w:eastAsia="zh-CN"/>
                <w14:textFill>
                  <w14:solidFill>
                    <w14:schemeClr w14:val="tx1"/>
                  </w14:solidFill>
                </w14:textFill>
              </w:rPr>
              <w:t>应按合同总价款</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的</w:t>
            </w:r>
            <w:r>
              <w:rPr>
                <w:rFonts w:hint="eastAsia" w:asciiTheme="minorEastAsia" w:hAnsiTheme="minorEastAsia" w:eastAsiaTheme="minorEastAsia" w:cstheme="minorEastAsia"/>
                <w:color w:val="000000" w:themeColor="text1"/>
                <w:lang w:eastAsia="zh-CN"/>
                <w14:textFill>
                  <w14:solidFill>
                    <w14:schemeClr w14:val="tx1"/>
                  </w14:solidFill>
                </w14:textFill>
              </w:rPr>
              <w:t>30%向</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lang w:eastAsia="zh-CN"/>
                <w14:textFill>
                  <w14:solidFill>
                    <w14:schemeClr w14:val="tx1"/>
                  </w14:solidFill>
                </w14:textFill>
              </w:rPr>
              <w:t>支付违约金及赔偿</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lang w:eastAsia="zh-CN"/>
                <w14:textFill>
                  <w14:solidFill>
                    <w14:schemeClr w14:val="tx1"/>
                  </w14:solidFill>
                </w14:textFill>
              </w:rPr>
              <w:t>损失。</w:t>
            </w:r>
          </w:p>
          <w:p w14:paraId="56C07894">
            <w:pPr>
              <w:snapToGrid/>
              <w:spacing w:line="300" w:lineRule="auto"/>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lang w:eastAsia="zh-CN"/>
                <w14:textFill>
                  <w14:solidFill>
                    <w14:schemeClr w14:val="tx1"/>
                  </w14:solidFill>
                </w14:textFill>
              </w:rPr>
              <w:t>因</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中标人</w:t>
            </w:r>
            <w:r>
              <w:rPr>
                <w:rFonts w:hint="eastAsia" w:asciiTheme="minorEastAsia" w:hAnsiTheme="minorEastAsia" w:eastAsiaTheme="minorEastAsia" w:cstheme="minorEastAsia"/>
                <w:color w:val="000000" w:themeColor="text1"/>
                <w:lang w:eastAsia="zh-CN"/>
                <w14:textFill>
                  <w14:solidFill>
                    <w14:schemeClr w14:val="tx1"/>
                  </w14:solidFill>
                </w14:textFill>
              </w:rPr>
              <w:t>导致</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报告无法通过审核</w:t>
            </w:r>
            <w:r>
              <w:rPr>
                <w:rFonts w:hint="eastAsia" w:asciiTheme="minorEastAsia" w:hAnsiTheme="minorEastAsia" w:eastAsiaTheme="minorEastAsia" w:cstheme="minorEastAsia"/>
                <w:color w:val="000000" w:themeColor="text1"/>
                <w:lang w:eastAsia="zh-CN"/>
                <w14:textFill>
                  <w14:solidFill>
                    <w14:schemeClr w14:val="tx1"/>
                  </w14:solidFill>
                </w14:textFill>
              </w:rPr>
              <w:t>或</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采购人项目无法完成环保竣工验收的</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lang w:eastAsia="zh-CN"/>
                <w14:textFill>
                  <w14:solidFill>
                    <w14:schemeClr w14:val="tx1"/>
                  </w14:solidFill>
                </w14:textFill>
              </w:rPr>
              <w:t>有权</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拒绝支付服务费用</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采购人已支付预付款项有权要求中标人全额退还，</w:t>
            </w:r>
            <w:r>
              <w:rPr>
                <w:rFonts w:hint="eastAsia" w:asciiTheme="minorEastAsia" w:hAnsiTheme="minorEastAsia" w:eastAsiaTheme="minorEastAsia" w:cstheme="minorEastAsia"/>
                <w:color w:val="000000" w:themeColor="text1"/>
                <w:lang w:eastAsia="zh-CN"/>
                <w14:textFill>
                  <w14:solidFill>
                    <w14:schemeClr w14:val="tx1"/>
                  </w14:solidFill>
                </w14:textFill>
              </w:rPr>
              <w:t>并没收</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中标人</w:t>
            </w:r>
            <w:r>
              <w:rPr>
                <w:rFonts w:hint="eastAsia" w:asciiTheme="minorEastAsia" w:hAnsiTheme="minorEastAsia" w:eastAsiaTheme="minorEastAsia" w:cstheme="minorEastAsia"/>
                <w:color w:val="000000" w:themeColor="text1"/>
                <w:lang w:eastAsia="zh-CN"/>
                <w14:textFill>
                  <w14:solidFill>
                    <w14:schemeClr w14:val="tx1"/>
                  </w14:solidFill>
                </w14:textFill>
              </w:rPr>
              <w:t>履约保证金，因此造成的损失有权向</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中标人</w:t>
            </w:r>
            <w:r>
              <w:rPr>
                <w:rFonts w:hint="eastAsia" w:asciiTheme="minorEastAsia" w:hAnsiTheme="minorEastAsia" w:eastAsiaTheme="minorEastAsia" w:cstheme="minorEastAsia"/>
                <w:color w:val="000000" w:themeColor="text1"/>
                <w:lang w:eastAsia="zh-CN"/>
                <w14:textFill>
                  <w14:solidFill>
                    <w14:schemeClr w14:val="tx1"/>
                  </w14:solidFill>
                </w14:textFill>
              </w:rPr>
              <w:t>索赔。</w:t>
            </w:r>
          </w:p>
          <w:p w14:paraId="5F966AB9">
            <w:pPr>
              <w:snapToGrid/>
              <w:spacing w:line="300" w:lineRule="auto"/>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lang w:eastAsia="zh-CN"/>
                <w14:textFill>
                  <w14:solidFill>
                    <w14:schemeClr w14:val="tx1"/>
                  </w14:solidFill>
                </w14:textFill>
              </w:rPr>
              <w:t>因</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中标人</w:t>
            </w:r>
            <w:r>
              <w:rPr>
                <w:rFonts w:hint="eastAsia" w:asciiTheme="minorEastAsia" w:hAnsiTheme="minorEastAsia" w:eastAsiaTheme="minorEastAsia" w:cstheme="minorEastAsia"/>
                <w:color w:val="000000" w:themeColor="text1"/>
                <w:lang w:eastAsia="zh-CN"/>
                <w14:textFill>
                  <w14:solidFill>
                    <w14:schemeClr w14:val="tx1"/>
                  </w14:solidFill>
                </w14:textFill>
              </w:rPr>
              <w:t>违约而主张权利产生的包括但不限于律师费、诉讼费、仲裁费、保全费、担保费、保险费、差旅费等一切费用均由</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中标人</w:t>
            </w:r>
            <w:r>
              <w:rPr>
                <w:rFonts w:hint="eastAsia" w:asciiTheme="minorEastAsia" w:hAnsiTheme="minorEastAsia" w:eastAsiaTheme="minorEastAsia" w:cstheme="minorEastAsia"/>
                <w:color w:val="000000" w:themeColor="text1"/>
                <w:lang w:eastAsia="zh-CN"/>
                <w14:textFill>
                  <w14:solidFill>
                    <w14:schemeClr w14:val="tx1"/>
                  </w14:solidFill>
                </w14:textFill>
              </w:rPr>
              <w:t>承担。</w:t>
            </w:r>
          </w:p>
          <w:p w14:paraId="2B4E0E08">
            <w:pPr>
              <w:snapToGrid/>
              <w:spacing w:line="300" w:lineRule="auto"/>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12、中标人</w:t>
            </w:r>
            <w:r>
              <w:rPr>
                <w:rFonts w:hint="eastAsia" w:asciiTheme="minorEastAsia" w:hAnsiTheme="minorEastAsia" w:eastAsiaTheme="minorEastAsia" w:cstheme="minorEastAsia"/>
                <w:color w:val="000000" w:themeColor="text1"/>
                <w:lang w:eastAsia="zh-CN"/>
                <w14:textFill>
                  <w14:solidFill>
                    <w14:schemeClr w14:val="tx1"/>
                  </w14:solidFill>
                </w14:textFill>
              </w:rPr>
              <w:t>已按时提交合格成果，</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因不可抗力</w:t>
            </w:r>
            <w:r>
              <w:rPr>
                <w:rFonts w:hint="eastAsia" w:asciiTheme="minorEastAsia" w:hAnsiTheme="minorEastAsia" w:eastAsiaTheme="minorEastAsia" w:cstheme="minorEastAsia"/>
                <w:color w:val="000000" w:themeColor="text1"/>
                <w:lang w:eastAsia="zh-CN"/>
                <w14:textFill>
                  <w14:solidFill>
                    <w14:schemeClr w14:val="tx1"/>
                  </w14:solidFill>
                </w14:textFill>
              </w:rPr>
              <w:t>延误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或</w:t>
            </w:r>
            <w:r>
              <w:rPr>
                <w:rFonts w:hint="eastAsia" w:asciiTheme="minorEastAsia" w:hAnsiTheme="minorEastAsia" w:eastAsiaTheme="minorEastAsia" w:cstheme="minorEastAsia"/>
                <w:color w:val="000000" w:themeColor="text1"/>
                <w:lang w:eastAsia="zh-CN"/>
                <w14:textFill>
                  <w14:solidFill>
                    <w14:schemeClr w14:val="tx1"/>
                  </w14:solidFill>
                </w14:textFill>
              </w:rPr>
              <w:t>因主管部门审查排期、公示程序等不可归责于</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中标人</w:t>
            </w:r>
            <w:r>
              <w:rPr>
                <w:rFonts w:hint="eastAsia" w:asciiTheme="minorEastAsia" w:hAnsiTheme="minorEastAsia" w:eastAsiaTheme="minorEastAsia" w:cstheme="minorEastAsia"/>
                <w:color w:val="000000" w:themeColor="text1"/>
                <w:lang w:eastAsia="zh-CN"/>
                <w14:textFill>
                  <w14:solidFill>
                    <w14:schemeClr w14:val="tx1"/>
                  </w14:solidFill>
                </w14:textFill>
              </w:rPr>
              <w:t>的情形</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延误的，中标人应</w:t>
            </w:r>
            <w:r>
              <w:rPr>
                <w:rFonts w:hint="eastAsia" w:asciiTheme="minorEastAsia" w:hAnsiTheme="minorEastAsia" w:eastAsiaTheme="minorEastAsia" w:cstheme="minorEastAsia"/>
                <w:color w:val="000000" w:themeColor="text1"/>
                <w:lang w:eastAsia="zh-CN"/>
                <w14:textFill>
                  <w14:solidFill>
                    <w14:schemeClr w14:val="tx1"/>
                  </w14:solidFill>
                </w14:textFill>
              </w:rPr>
              <w:t>在事由发生后5个工作日内</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书面通知采购人并提供证明，经采购人书面确认后，相应工期可予以顺延，且不视为中标人违约。</w:t>
            </w:r>
            <w:r>
              <w:rPr>
                <w:rFonts w:hint="eastAsia" w:asciiTheme="minorEastAsia" w:hAnsiTheme="minorEastAsia" w:eastAsiaTheme="minorEastAsia" w:cstheme="minorEastAsia"/>
                <w:color w:val="000000" w:themeColor="text1"/>
                <w:lang w:eastAsia="zh-CN"/>
                <w14:textFill>
                  <w14:solidFill>
                    <w14:schemeClr w14:val="tx1"/>
                  </w14:solidFill>
                </w14:textFill>
              </w:rPr>
              <w:t>因报告质量问题、需补正修改导致的延误不予顺延。</w:t>
            </w:r>
          </w:p>
        </w:tc>
      </w:tr>
      <w:tr w14:paraId="0639B8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18" w:type="dxa"/>
            <w:vAlign w:val="center"/>
          </w:tcPr>
          <w:p w14:paraId="5D7C4810">
            <w:pPr>
              <w:snapToGrid/>
              <w:spacing w:line="240" w:lineRule="auto"/>
              <w:jc w:val="center"/>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4</w:t>
            </w:r>
          </w:p>
        </w:tc>
        <w:tc>
          <w:tcPr>
            <w:tcW w:w="1487" w:type="dxa"/>
            <w:vAlign w:val="center"/>
          </w:tcPr>
          <w:p w14:paraId="7C59BF20">
            <w:pPr>
              <w:snapToGrid/>
              <w:spacing w:line="240" w:lineRule="auto"/>
              <w:jc w:val="center"/>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项目地点</w:t>
            </w:r>
          </w:p>
        </w:tc>
        <w:tc>
          <w:tcPr>
            <w:tcW w:w="7350" w:type="dxa"/>
            <w:vAlign w:val="center"/>
          </w:tcPr>
          <w:p w14:paraId="7CE93EE8">
            <w:pPr>
              <w:snapToGrid/>
              <w:spacing w:line="300" w:lineRule="auto"/>
              <w:ind w:firstLine="0" w:firstLineChars="0"/>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采购人指定地点。</w:t>
            </w:r>
          </w:p>
        </w:tc>
      </w:tr>
      <w:tr w14:paraId="0615CD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18" w:type="dxa"/>
            <w:vAlign w:val="center"/>
          </w:tcPr>
          <w:p w14:paraId="4A27858F">
            <w:pPr>
              <w:snapToGrid/>
              <w:spacing w:line="240" w:lineRule="auto"/>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5</w:t>
            </w:r>
          </w:p>
        </w:tc>
        <w:tc>
          <w:tcPr>
            <w:tcW w:w="1487" w:type="dxa"/>
            <w:vAlign w:val="center"/>
          </w:tcPr>
          <w:p w14:paraId="5989C214">
            <w:pPr>
              <w:snapToGrid/>
              <w:spacing w:line="240" w:lineRule="auto"/>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报价要求</w:t>
            </w:r>
          </w:p>
        </w:tc>
        <w:tc>
          <w:tcPr>
            <w:tcW w:w="7350" w:type="dxa"/>
            <w:vAlign w:val="center"/>
          </w:tcPr>
          <w:p w14:paraId="3F7FC65E">
            <w:pPr>
              <w:pStyle w:val="13"/>
              <w:snapToGrid/>
              <w:spacing w:line="300" w:lineRule="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bookmarkStart w:id="14" w:name="_Hlk223791386"/>
            <w:r>
              <w:rPr>
                <w:rFonts w:hint="eastAsia" w:asciiTheme="minorEastAsia" w:hAnsiTheme="minorEastAsia" w:eastAsiaTheme="minorEastAsia" w:cstheme="minorEastAsia"/>
                <w:color w:val="000000" w:themeColor="text1"/>
                <w:szCs w:val="21"/>
                <w:highlight w:val="none"/>
                <w14:textFill>
                  <w14:solidFill>
                    <w14:schemeClr w14:val="tx1"/>
                  </w14:solidFill>
                </w14:textFill>
              </w:rPr>
              <w:t>1</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投标报价应包括但不限于环境影响评价（含现状调查、监测、报告编制、评审等）</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突发环境事件应急预案编制及备案</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含风险评估、资源调查、预案撰写、专家评审</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及</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竣工环境保护验收（含验收监测、验收报告编制、专家评审、备案协助等）</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等</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相关技术服务</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产生的费用</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，自主办公费</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办公耗材、照明、水、通讯</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、印刷费、交通费、税费等其他相关费用及合同实施过程中应预见和不可预见的所有费用。</w:t>
            </w:r>
          </w:p>
          <w:p w14:paraId="38F18915">
            <w:pPr>
              <w:pStyle w:val="13"/>
              <w:snapToGrid/>
              <w:spacing w:line="300" w:lineRule="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2</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中标人在项目实施过程中须对现场货物做好保护。</w:t>
            </w:r>
            <w:bookmarkEnd w:id="14"/>
          </w:p>
        </w:tc>
      </w:tr>
      <w:tr w14:paraId="0F3D8F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18" w:type="dxa"/>
            <w:vAlign w:val="center"/>
          </w:tcPr>
          <w:p w14:paraId="179FD945">
            <w:pPr>
              <w:snapToGrid/>
              <w:spacing w:line="240" w:lineRule="auto"/>
              <w:jc w:val="center"/>
              <w:rPr>
                <w:rFonts w:hint="eastAsia" w:asciiTheme="minorEastAsia" w:hAnsiTheme="minorEastAsia" w:eastAsiaTheme="minorEastAsia" w:cstheme="minorEastAsia"/>
                <w:color w:val="000000" w:themeColor="text1"/>
                <w:szCs w:val="21"/>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6</w:t>
            </w:r>
          </w:p>
        </w:tc>
        <w:tc>
          <w:tcPr>
            <w:tcW w:w="1487" w:type="dxa"/>
            <w:vAlign w:val="center"/>
          </w:tcPr>
          <w:p w14:paraId="34A775B8">
            <w:pPr>
              <w:snapToGrid/>
              <w:spacing w:line="240" w:lineRule="auto"/>
              <w:jc w:val="center"/>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验收标准</w:t>
            </w:r>
          </w:p>
        </w:tc>
        <w:tc>
          <w:tcPr>
            <w:tcW w:w="7350" w:type="dxa"/>
            <w:vAlign w:val="center"/>
          </w:tcPr>
          <w:p w14:paraId="23C15D1F">
            <w:pPr>
              <w:pStyle w:val="13"/>
              <w:snapToGrid/>
              <w:spacing w:line="300" w:lineRule="auto"/>
              <w:rPr>
                <w:rFonts w:hint="eastAsia"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中标人</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需保证提交的《</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环境影响评价报告</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《建设项目竣工环境保护验收监测报告》、《突发环境事件应急预案》</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符合国家及地方有关法律、法规、标准与规范、企业实际</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满足专家评审及</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生态环境主管</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部门的技术审查要求</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取得</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环评批复文件、应急预案得备案回执</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及</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竣工环保验收完成系统备案公示</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p>
        </w:tc>
      </w:tr>
      <w:tr w14:paraId="1B9826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18" w:type="dxa"/>
            <w:vAlign w:val="center"/>
          </w:tcPr>
          <w:p w14:paraId="52D18AEB">
            <w:pPr>
              <w:snapToGrid/>
              <w:spacing w:line="240" w:lineRule="auto"/>
              <w:jc w:val="center"/>
              <w:rPr>
                <w:rFonts w:hint="eastAsia" w:asciiTheme="minorEastAsia" w:hAnsiTheme="minorEastAsia" w:eastAsiaTheme="minorEastAsia" w:cstheme="minorEastAsia"/>
                <w:color w:val="000000" w:themeColor="text1"/>
                <w:szCs w:val="21"/>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7</w:t>
            </w:r>
          </w:p>
        </w:tc>
        <w:tc>
          <w:tcPr>
            <w:tcW w:w="1487" w:type="dxa"/>
            <w:vAlign w:val="center"/>
          </w:tcPr>
          <w:p w14:paraId="31CE07D4">
            <w:pPr>
              <w:snapToGrid/>
              <w:spacing w:line="240" w:lineRule="auto"/>
              <w:jc w:val="center"/>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投标有效期</w:t>
            </w:r>
          </w:p>
        </w:tc>
        <w:tc>
          <w:tcPr>
            <w:tcW w:w="7350" w:type="dxa"/>
            <w:vAlign w:val="center"/>
          </w:tcPr>
          <w:p w14:paraId="50FBF8B5">
            <w:pPr>
              <w:tabs>
                <w:tab w:val="center" w:pos="3125"/>
              </w:tabs>
              <w:snapToGrid/>
              <w:spacing w:line="300" w:lineRule="auto"/>
              <w:ind w:firstLine="0" w:firstLineChars="0"/>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bCs w:val="0"/>
                <w:color w:val="000000" w:themeColor="text1"/>
                <w:sz w:val="21"/>
                <w:szCs w:val="21"/>
                <w:highlight w:val="none"/>
                <w:lang w:val="en-US"/>
                <w14:textFill>
                  <w14:solidFill>
                    <w14:schemeClr w14:val="tx1"/>
                  </w14:solidFill>
                </w14:textFill>
              </w:rPr>
              <w:t>递交投标文件截止日后</w:t>
            </w:r>
            <w:r>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t>90</w:t>
            </w:r>
            <w:r>
              <w:rPr>
                <w:rFonts w:hint="eastAsia" w:asciiTheme="minorEastAsia" w:hAnsiTheme="minorEastAsia" w:eastAsiaTheme="minorEastAsia" w:cstheme="minorEastAsia"/>
                <w:bCs w:val="0"/>
                <w:color w:val="000000" w:themeColor="text1"/>
                <w:sz w:val="21"/>
                <w:szCs w:val="21"/>
                <w:highlight w:val="none"/>
                <w:lang w:val="en-US"/>
                <w14:textFill>
                  <w14:solidFill>
                    <w14:schemeClr w14:val="tx1"/>
                  </w14:solidFill>
                </w14:textFill>
              </w:rPr>
              <w:t>日内有效</w:t>
            </w:r>
          </w:p>
        </w:tc>
      </w:tr>
      <w:tr w14:paraId="72D2BA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18" w:type="dxa"/>
            <w:vAlign w:val="center"/>
          </w:tcPr>
          <w:p w14:paraId="14C4A4E0">
            <w:pPr>
              <w:snapToGrid/>
              <w:spacing w:line="240" w:lineRule="auto"/>
              <w:jc w:val="center"/>
              <w:rPr>
                <w:rFonts w:hint="eastAsia" w:asciiTheme="minorEastAsia" w:hAnsiTheme="minorEastAsia" w:eastAsiaTheme="minorEastAsia" w:cstheme="minorEastAsia"/>
                <w:color w:val="000000" w:themeColor="text1"/>
                <w:szCs w:val="21"/>
                <w:lang w:eastAsia="zh-CN"/>
                <w14:textFill>
                  <w14:solidFill>
                    <w14:schemeClr w14:val="tx1"/>
                  </w14:solidFill>
                </w14:textFill>
              </w:rPr>
            </w:pPr>
            <w:r>
              <w:rPr>
                <w:rFonts w:hint="eastAsia" w:asciiTheme="minorEastAsia" w:hAnsiTheme="minorEastAsia" w:eastAsiaTheme="minorEastAsia" w:cstheme="minorEastAsia"/>
                <w:color w:val="000000" w:themeColor="text1"/>
                <w:szCs w:val="21"/>
                <w:lang w:val="en-US" w:eastAsia="zh-CN"/>
                <w14:textFill>
                  <w14:solidFill>
                    <w14:schemeClr w14:val="tx1"/>
                  </w14:solidFill>
                </w14:textFill>
              </w:rPr>
              <w:t>8</w:t>
            </w:r>
          </w:p>
        </w:tc>
        <w:tc>
          <w:tcPr>
            <w:tcW w:w="1487" w:type="dxa"/>
            <w:vAlign w:val="center"/>
          </w:tcPr>
          <w:p w14:paraId="74437529">
            <w:pPr>
              <w:snapToGrid/>
              <w:spacing w:line="240" w:lineRule="auto"/>
              <w:jc w:val="center"/>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合同条款</w:t>
            </w:r>
          </w:p>
        </w:tc>
        <w:tc>
          <w:tcPr>
            <w:tcW w:w="7350" w:type="dxa"/>
            <w:vAlign w:val="center"/>
          </w:tcPr>
          <w:p w14:paraId="18BE5DD2">
            <w:pPr>
              <w:snapToGrid/>
              <w:spacing w:line="300" w:lineRule="auto"/>
              <w:ind w:firstLine="0" w:firstLineChars="0"/>
              <w:rPr>
                <w:rFonts w:hint="eastAsia" w:asciiTheme="minorEastAsia" w:hAnsiTheme="minorEastAsia" w:eastAsiaTheme="minorEastAsia" w:cstheme="minorEastAsia"/>
                <w:color w:val="000000" w:themeColor="text1"/>
                <w:szCs w:val="21"/>
                <w14:textFill>
                  <w14:solidFill>
                    <w14:schemeClr w14:val="tx1"/>
                  </w14:solidFill>
                </w14:textFill>
              </w:rPr>
            </w:pPr>
            <w:r>
              <w:rPr>
                <w:rFonts w:hint="eastAsia" w:asciiTheme="minorEastAsia" w:hAnsiTheme="minorEastAsia" w:eastAsiaTheme="minorEastAsia" w:cstheme="minorEastAsia"/>
                <w:color w:val="000000" w:themeColor="text1"/>
                <w:szCs w:val="21"/>
                <w14:textFill>
                  <w14:solidFill>
                    <w14:schemeClr w14:val="tx1"/>
                  </w14:solidFill>
                </w14:textFill>
              </w:rPr>
              <w:t>投标人实质响应合同各条款。</w:t>
            </w:r>
          </w:p>
        </w:tc>
      </w:tr>
    </w:tbl>
    <w:p w14:paraId="3FBCAF31">
      <w:pPr>
        <w:rPr>
          <w:rFonts w:hint="eastAsia" w:hAnsi="宋体" w:eastAsia="宋体" w:cs="宋体"/>
          <w:color w:val="auto"/>
          <w:sz w:val="21"/>
          <w:szCs w:val="21"/>
          <w:highlight w:val="none"/>
        </w:rPr>
      </w:pPr>
      <w:r>
        <w:rPr>
          <w:rFonts w:hint="eastAsia" w:hAnsi="宋体" w:eastAsia="宋体" w:cs="宋体"/>
          <w:color w:val="auto"/>
          <w:sz w:val="21"/>
          <w:szCs w:val="21"/>
          <w:highlight w:val="none"/>
        </w:rPr>
        <w:br w:type="page"/>
      </w:r>
    </w:p>
    <w:p w14:paraId="47059C19">
      <w:pPr>
        <w:jc w:val="center"/>
        <w:outlineLvl w:val="2"/>
        <w:rPr>
          <w:rFonts w:hint="eastAsia"/>
          <w:b/>
          <w:bCs/>
          <w:color w:val="auto"/>
          <w:sz w:val="24"/>
          <w:szCs w:val="24"/>
          <w:highlight w:val="none"/>
          <w:lang w:val="en-US" w:eastAsia="zh-CN"/>
        </w:rPr>
      </w:pPr>
      <w:bookmarkStart w:id="15" w:name="_Toc17536"/>
      <w:r>
        <w:rPr>
          <w:rFonts w:hint="eastAsia"/>
          <w:b/>
          <w:bCs/>
          <w:color w:val="auto"/>
          <w:sz w:val="24"/>
          <w:szCs w:val="24"/>
          <w:highlight w:val="none"/>
          <w:lang w:val="en-US" w:eastAsia="zh-CN"/>
        </w:rPr>
        <w:t>第二章 技术需求书</w:t>
      </w:r>
      <w:bookmarkEnd w:id="15"/>
    </w:p>
    <w:p w14:paraId="7C6F6C42">
      <w:pPr>
        <w:snapToGrid/>
        <w:spacing w:before="164" w:beforeLines="50"/>
        <w:rPr>
          <w:rFonts w:hint="eastAsia"/>
          <w:b/>
          <w:bCs/>
          <w:szCs w:val="21"/>
          <w:lang w:val="en-US" w:eastAsia="zh-CN"/>
        </w:rPr>
      </w:pPr>
      <w:r>
        <w:rPr>
          <w:rFonts w:hint="eastAsia"/>
          <w:b/>
          <w:bCs/>
          <w:szCs w:val="21"/>
          <w:lang w:val="en-US" w:eastAsia="zh-CN"/>
        </w:rPr>
        <w:t>一、项目概况</w:t>
      </w:r>
    </w:p>
    <w:p w14:paraId="6B785428">
      <w:pPr>
        <w:pStyle w:val="2"/>
        <w:snapToGrid/>
        <w:spacing w:before="0"/>
        <w:ind w:firstLine="420" w:firstLineChars="200"/>
        <w:rPr>
          <w:rFonts w:hint="default"/>
          <w:color w:val="auto"/>
          <w:sz w:val="21"/>
          <w:szCs w:val="21"/>
          <w:lang w:val="en-US" w:eastAsia="zh-CN"/>
        </w:rPr>
      </w:pPr>
      <w:r>
        <w:rPr>
          <w:rFonts w:hint="default"/>
          <w:sz w:val="21"/>
          <w:szCs w:val="21"/>
          <w:lang w:val="en-US" w:eastAsia="zh-CN"/>
        </w:rPr>
        <w:t>本项目为现有麻涌热电厂三期（餐厨垃圾资源化处理项目）预处理系统提效工程，现有麻涌热电厂三期（餐厨垃圾资源化处理项目）设计</w:t>
      </w:r>
      <w:r>
        <w:rPr>
          <w:rFonts w:hint="default"/>
          <w:color w:val="auto"/>
          <w:sz w:val="21"/>
          <w:szCs w:val="21"/>
          <w:lang w:val="en-US" w:eastAsia="zh-CN"/>
        </w:rPr>
        <w:t>处理餐厨垃圾300吨/天，本项目拟通过预处理系统工艺优化及设备升级改造，建成日常规处置餐厨垃圾450吨、年处置规模164250吨的处理体系，应急工况下日最大处置能力可达600吨，显著提升餐厨垃圾资源化利用与无害化处置水平。</w:t>
      </w:r>
    </w:p>
    <w:p w14:paraId="6FF4D672">
      <w:pPr>
        <w:pStyle w:val="2"/>
        <w:snapToGrid/>
        <w:spacing w:before="0"/>
        <w:ind w:firstLine="420" w:firstLineChars="200"/>
        <w:rPr>
          <w:rFonts w:hint="default"/>
          <w:color w:val="auto"/>
          <w:sz w:val="21"/>
          <w:szCs w:val="21"/>
          <w:lang w:val="en-US" w:eastAsia="zh-CN"/>
        </w:rPr>
      </w:pPr>
      <w:r>
        <w:rPr>
          <w:rFonts w:hint="default"/>
          <w:color w:val="auto"/>
          <w:sz w:val="21"/>
          <w:szCs w:val="21"/>
          <w:lang w:val="en-US" w:eastAsia="zh-CN"/>
        </w:rPr>
        <w:t>物料衡算如下：常规日处置餐厨垃圾450吨，按3</w:t>
      </w:r>
      <w:r>
        <w:rPr>
          <w:rFonts w:hint="eastAsia" w:asciiTheme="minorEastAsia" w:hAnsiTheme="minorEastAsia" w:eastAsiaTheme="minorEastAsia" w:cstheme="minorEastAsia"/>
          <w:color w:val="auto"/>
          <w:sz w:val="21"/>
          <w:szCs w:val="21"/>
          <w:lang w:val="en-US" w:eastAsia="zh-CN"/>
        </w:rPr>
        <w:t>％</w:t>
      </w:r>
      <w:r>
        <w:rPr>
          <w:rFonts w:hint="default"/>
          <w:color w:val="auto"/>
          <w:sz w:val="21"/>
          <w:szCs w:val="21"/>
          <w:lang w:val="en-US" w:eastAsia="zh-CN"/>
        </w:rPr>
        <w:t>出油率核算，日产餐厨粗油13.5吨；日均收运地沟油30吨，按35</w:t>
      </w:r>
      <w:r>
        <w:rPr>
          <w:rFonts w:hint="eastAsia" w:asciiTheme="minorEastAsia" w:hAnsiTheme="minorEastAsia" w:eastAsiaTheme="minorEastAsia" w:cstheme="minorEastAsia"/>
          <w:color w:val="auto"/>
          <w:sz w:val="21"/>
          <w:szCs w:val="21"/>
          <w:lang w:val="en-US" w:eastAsia="zh-CN"/>
        </w:rPr>
        <w:t>％</w:t>
      </w:r>
      <w:r>
        <w:rPr>
          <w:rFonts w:hint="default"/>
          <w:color w:val="auto"/>
          <w:sz w:val="21"/>
          <w:szCs w:val="21"/>
          <w:lang w:val="en-US" w:eastAsia="zh-CN"/>
        </w:rPr>
        <w:t>提取率核算，可回收地沟油10.5吨；日均收运老油10吨，按90</w:t>
      </w:r>
      <w:r>
        <w:rPr>
          <w:rFonts w:hint="eastAsia" w:asciiTheme="minorEastAsia" w:hAnsiTheme="minorEastAsia" w:eastAsiaTheme="minorEastAsia" w:cstheme="minorEastAsia"/>
          <w:color w:val="auto"/>
          <w:sz w:val="21"/>
          <w:szCs w:val="21"/>
          <w:lang w:val="en-US" w:eastAsia="zh-CN"/>
        </w:rPr>
        <w:t>％</w:t>
      </w:r>
      <w:r>
        <w:rPr>
          <w:rFonts w:hint="default"/>
          <w:color w:val="auto"/>
          <w:sz w:val="21"/>
          <w:szCs w:val="21"/>
          <w:lang w:val="en-US" w:eastAsia="zh-CN"/>
        </w:rPr>
        <w:t>回收率核算，产出老油产品9吨。三类油脂合计日产33吨，按全年365天运行测算，年油脂总产出12045吨。</w:t>
      </w:r>
    </w:p>
    <w:p w14:paraId="5F2CF45F">
      <w:pPr>
        <w:pStyle w:val="2"/>
        <w:snapToGrid/>
        <w:spacing w:before="0"/>
        <w:ind w:firstLine="420" w:firstLineChars="200"/>
        <w:rPr>
          <w:rFonts w:hint="default"/>
          <w:sz w:val="21"/>
          <w:szCs w:val="21"/>
          <w:lang w:val="en-US" w:eastAsia="zh-CN"/>
        </w:rPr>
      </w:pPr>
      <w:r>
        <w:rPr>
          <w:rFonts w:hint="default"/>
          <w:sz w:val="21"/>
          <w:szCs w:val="21"/>
          <w:lang w:val="en-US" w:eastAsia="zh-CN"/>
        </w:rPr>
        <w:t>（一）麻涌热电厂一二期（生活垃圾焚烧电厂）介绍</w:t>
      </w:r>
    </w:p>
    <w:p w14:paraId="5974170B">
      <w:pPr>
        <w:pStyle w:val="2"/>
        <w:snapToGrid/>
        <w:spacing w:before="0"/>
        <w:ind w:firstLine="420" w:firstLineChars="200"/>
        <w:rPr>
          <w:rFonts w:hint="default"/>
          <w:sz w:val="21"/>
          <w:szCs w:val="21"/>
          <w:lang w:val="en-US" w:eastAsia="zh-CN"/>
        </w:rPr>
      </w:pPr>
      <w:r>
        <w:rPr>
          <w:rFonts w:hint="default"/>
          <w:sz w:val="21"/>
          <w:szCs w:val="21"/>
          <w:lang w:val="en-US" w:eastAsia="zh-CN"/>
        </w:rPr>
        <w:t>设计3*500t/d机械炉排焚烧炉、2*18MW凝汽式汽轮发电机组、3*53t/h余热锅炉、烟气处理净化系统、垃圾渗滤液处理系统、生活污水处理系统及一体化化水处理系统。主体工艺流程如图1所示。</w:t>
      </w:r>
    </w:p>
    <w:p w14:paraId="4E1E401F">
      <w:pPr>
        <w:pStyle w:val="2"/>
        <w:snapToGrid/>
        <w:spacing w:before="0"/>
        <w:jc w:val="center"/>
        <w:rPr>
          <w:rFonts w:hint="default"/>
          <w:sz w:val="21"/>
          <w:szCs w:val="21"/>
          <w:lang w:val="en-US" w:eastAsia="zh-CN"/>
        </w:rPr>
      </w:pPr>
      <w:r>
        <w:rPr>
          <w:rFonts w:hint="default"/>
          <w:color w:val="auto"/>
          <w:lang w:val="en-US" w:eastAsia="zh-CN"/>
        </w:rPr>
        <w:drawing>
          <wp:inline distT="0" distB="0" distL="114300" distR="114300">
            <wp:extent cx="5951855" cy="3253105"/>
            <wp:effectExtent l="0" t="0" r="10795" b="4445"/>
            <wp:docPr id="5" name="图片 5" descr="生成主要生产工艺简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生成主要生产工艺简图"/>
                    <pic:cNvPicPr>
                      <a:picLocks noChangeAspect="1"/>
                    </pic:cNvPicPr>
                  </pic:nvPicPr>
                  <pic:blipFill>
                    <a:blip r:embed="rId16"/>
                    <a:stretch>
                      <a:fillRect/>
                    </a:stretch>
                  </pic:blipFill>
                  <pic:spPr>
                    <a:xfrm>
                      <a:off x="0" y="0"/>
                      <a:ext cx="5951855" cy="3253105"/>
                    </a:xfrm>
                    <a:prstGeom prst="rect">
                      <a:avLst/>
                    </a:prstGeom>
                  </pic:spPr>
                </pic:pic>
              </a:graphicData>
            </a:graphic>
          </wp:inline>
        </w:drawing>
      </w:r>
    </w:p>
    <w:p w14:paraId="027CEAF2">
      <w:pPr>
        <w:pStyle w:val="2"/>
        <w:snapToGrid/>
        <w:spacing w:before="0"/>
        <w:jc w:val="center"/>
        <w:rPr>
          <w:rFonts w:hint="default"/>
          <w:sz w:val="21"/>
          <w:szCs w:val="21"/>
          <w:lang w:val="en-US" w:eastAsia="zh-CN"/>
        </w:rPr>
      </w:pPr>
      <w:r>
        <w:rPr>
          <w:rFonts w:hint="default"/>
          <w:sz w:val="21"/>
          <w:szCs w:val="21"/>
          <w:lang w:val="en-US" w:eastAsia="zh-CN"/>
        </w:rPr>
        <w:t>图1：麻涌热电厂一二期（生活垃圾焚烧电厂）工艺流程图</w:t>
      </w:r>
    </w:p>
    <w:p w14:paraId="500DA4CD">
      <w:pPr>
        <w:pStyle w:val="2"/>
        <w:snapToGrid/>
        <w:spacing w:before="0"/>
        <w:ind w:firstLine="420" w:firstLineChars="200"/>
        <w:rPr>
          <w:rFonts w:hint="default"/>
          <w:sz w:val="21"/>
          <w:szCs w:val="21"/>
          <w:lang w:val="en-US" w:eastAsia="zh-CN"/>
        </w:rPr>
      </w:pPr>
    </w:p>
    <w:p w14:paraId="64E67333">
      <w:pPr>
        <w:pStyle w:val="2"/>
        <w:snapToGrid/>
        <w:spacing w:before="0"/>
        <w:ind w:firstLine="420" w:firstLineChars="200"/>
        <w:rPr>
          <w:rFonts w:hint="default"/>
          <w:sz w:val="21"/>
          <w:szCs w:val="21"/>
          <w:lang w:val="en-US" w:eastAsia="zh-CN"/>
        </w:rPr>
      </w:pPr>
      <w:r>
        <w:rPr>
          <w:rFonts w:hint="default"/>
          <w:sz w:val="21"/>
          <w:szCs w:val="21"/>
          <w:lang w:val="en-US" w:eastAsia="zh-CN"/>
        </w:rPr>
        <w:t>（二）麻涌热电厂三期（餐厨垃圾资源化处理项目）介绍</w:t>
      </w:r>
    </w:p>
    <w:p w14:paraId="4A801815">
      <w:pPr>
        <w:pStyle w:val="2"/>
        <w:snapToGrid/>
        <w:spacing w:before="0"/>
        <w:ind w:firstLine="420" w:firstLineChars="200"/>
        <w:rPr>
          <w:rFonts w:hint="default"/>
          <w:sz w:val="21"/>
          <w:szCs w:val="21"/>
          <w:lang w:val="en-US" w:eastAsia="zh-CN"/>
        </w:rPr>
      </w:pPr>
      <w:r>
        <w:rPr>
          <w:rFonts w:hint="default"/>
          <w:sz w:val="21"/>
          <w:szCs w:val="21"/>
          <w:lang w:val="en-US" w:eastAsia="zh-CN"/>
        </w:rPr>
        <w:t>设计处理餐厨垃圾300吨/天，地沟油提油16t/d。现有项目由七大核心系统组成，涵盖预处理系统、全浆料提油系统、厌氧发酵系统、沼气提纯系统、地沟油处理系统、污水处理系统及臭气处理系统。主体工艺流程见图2。</w:t>
      </w:r>
    </w:p>
    <w:p w14:paraId="3EAEDB8F">
      <w:pPr>
        <w:pStyle w:val="3"/>
        <w:ind w:left="0" w:leftChars="0" w:firstLine="0" w:firstLineChars="0"/>
        <w:jc w:val="center"/>
        <w:rPr>
          <w:rFonts w:hint="default" w:eastAsia="仿宋_GB2312" w:cs="Times New Roman"/>
          <w:b w:val="0"/>
          <w:bCs w:val="0"/>
          <w:color w:val="auto"/>
          <w:sz w:val="32"/>
          <w:szCs w:val="32"/>
          <w:lang w:val="en-US" w:eastAsia="zh-CN"/>
        </w:rPr>
      </w:pPr>
      <w:r>
        <w:rPr>
          <w:rFonts w:hint="default" w:eastAsia="仿宋_GB2312" w:cs="Times New Roman"/>
          <w:b w:val="0"/>
          <w:bCs w:val="0"/>
          <w:color w:val="auto"/>
          <w:sz w:val="32"/>
          <w:szCs w:val="32"/>
          <w:lang w:val="en-US" w:eastAsia="zh-CN"/>
        </w:rPr>
        <w:drawing>
          <wp:inline distT="0" distB="0" distL="114300" distR="114300">
            <wp:extent cx="5715000" cy="6600190"/>
            <wp:effectExtent l="0" t="0" r="0" b="10160"/>
            <wp:docPr id="1" name="图片 1" descr="餐厨项目各系统2025年3月更新工艺流程图_0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餐厨项目各系统2025年3月更新工艺流程图_02(1)(1)"/>
                    <pic:cNvPicPr>
                      <a:picLocks noChangeAspect="1"/>
                    </pic:cNvPicPr>
                  </pic:nvPicPr>
                  <pic:blipFill>
                    <a:blip r:embed="rId17"/>
                    <a:stretch>
                      <a:fillRect/>
                    </a:stretch>
                  </pic:blipFill>
                  <pic:spPr>
                    <a:xfrm>
                      <a:off x="0" y="0"/>
                      <a:ext cx="5715000" cy="6600190"/>
                    </a:xfrm>
                    <a:prstGeom prst="rect">
                      <a:avLst/>
                    </a:prstGeom>
                  </pic:spPr>
                </pic:pic>
              </a:graphicData>
            </a:graphic>
          </wp:inline>
        </w:drawing>
      </w:r>
    </w:p>
    <w:p w14:paraId="40D71CA5">
      <w:pPr>
        <w:pStyle w:val="4"/>
        <w:jc w:val="cente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图2：麻涌热电厂三期（餐厨垃圾资源化处理项目）工艺流程图</w:t>
      </w:r>
    </w:p>
    <w:p w14:paraId="55AB0758">
      <w:pPr>
        <w:pStyle w:val="4"/>
        <w:ind w:firstLine="420" w:firstLineChars="200"/>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（三）麻涌餐厨项目预处理系统提效工程介绍</w:t>
      </w:r>
    </w:p>
    <w:p w14:paraId="07EA7814">
      <w:pPr>
        <w:pStyle w:val="4"/>
        <w:ind w:firstLine="420" w:firstLineChars="200"/>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本次预处理提效工程技改核心为预处理系统的升级。对原有预处理部分设备进行拆除，对调湿制浆机进行技改，增加2套具备破碎、制浆、分选功能的水力制浆分选机，替代原有2套破碎机、粗大物分选机、调湿制浆机、203螺旋、轻物质分选机。工艺路线为预处理系统进料仓来料通过接料溜槽204螺旋机进入水力制浆分选机。水力制浆分选机的加热液来源于三相离心机前的热浆，通过水力制浆分选机完成调湿、制浆与洗油后，杂渣通过新增滤水提渣螺旋和现有杂物输送螺旋送至压榨机压榨，压榨后的杂渣进入麻涌热电厂焚烧处置。分选后的浆料进入现有预处理除砂系统进一步除砂除杂。预处理系统技改工艺路线如图3所示。</w:t>
      </w:r>
    </w:p>
    <w:p w14:paraId="76CA1B78">
      <w:pPr>
        <w:pStyle w:val="4"/>
        <w:jc w:val="center"/>
        <w:rPr>
          <w:color w:val="auto"/>
        </w:rPr>
      </w:pPr>
      <w:r>
        <w:rPr>
          <w:color w:val="auto"/>
        </w:rPr>
        <w:drawing>
          <wp:inline distT="0" distB="0" distL="114300" distR="114300">
            <wp:extent cx="5779135" cy="4147820"/>
            <wp:effectExtent l="0" t="0" r="12065" b="508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8"/>
                    <a:stretch>
                      <a:fillRect/>
                    </a:stretch>
                  </pic:blipFill>
                  <pic:spPr>
                    <a:xfrm>
                      <a:off x="0" y="0"/>
                      <a:ext cx="5779135" cy="4147820"/>
                    </a:xfrm>
                    <a:prstGeom prst="rect">
                      <a:avLst/>
                    </a:prstGeom>
                    <a:noFill/>
                    <a:ln>
                      <a:noFill/>
                    </a:ln>
                  </pic:spPr>
                </pic:pic>
              </a:graphicData>
            </a:graphic>
          </wp:inline>
        </w:drawing>
      </w:r>
    </w:p>
    <w:p w14:paraId="5BE441D4">
      <w:pPr>
        <w:pStyle w:val="4"/>
        <w:jc w:val="center"/>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图3：预处理系统技改工艺路线图</w:t>
      </w:r>
    </w:p>
    <w:p w14:paraId="3B4ACC73">
      <w:pPr>
        <w:pStyle w:val="4"/>
        <w:jc w:val="center"/>
        <w:rPr>
          <w:rFonts w:hint="eastAsia" w:asciiTheme="minorEastAsia" w:hAnsiTheme="minorEastAsia" w:eastAsiaTheme="minorEastAsia" w:cstheme="minorEastAsia"/>
          <w:color w:val="auto"/>
          <w:lang w:val="en-US" w:eastAsia="zh-CN"/>
        </w:rPr>
      </w:pPr>
    </w:p>
    <w:p w14:paraId="65537C32">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同时，保留2022年新增应急产线150t/d应急产线的餐厨垃圾预处理系统作为备用预处理设施。</w:t>
      </w:r>
    </w:p>
    <w:p w14:paraId="33FE40C0">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（四）本项目资源化利用产品方案</w:t>
      </w:r>
    </w:p>
    <w:p w14:paraId="38C4721F">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本项目资源化利用产品主要有天然气、生物油、有机料及碳源，主要情况如下：</w:t>
      </w:r>
    </w:p>
    <w:p w14:paraId="4668FB17">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1、天然气：</w:t>
      </w:r>
    </w:p>
    <w:p w14:paraId="39F730FD">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餐厨垃圾经过破碎、除杂、制浆，通过水解酸化+厌氧消化产生沼气，沼气经净化、加压、加臭后产出天然气并输送至新奥燃气管网。</w:t>
      </w:r>
    </w:p>
    <w:p w14:paraId="61E4475A">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2、生物油脂：</w:t>
      </w:r>
    </w:p>
    <w:p w14:paraId="7F569C9D">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 xml:space="preserve">（1）餐厨垃圾经破碎、制浆、除砂后，形成均匀有机浆料，再通过加热调质 + </w:t>
      </w:r>
      <w:bookmarkStart w:id="16" w:name="OLE_LINK2"/>
      <w:r>
        <w:rPr>
          <w:rFonts w:hint="eastAsia" w:asciiTheme="minorEastAsia" w:hAnsiTheme="minorEastAsia" w:eastAsiaTheme="minorEastAsia" w:cstheme="minorEastAsia"/>
          <w:color w:val="auto"/>
          <w:lang w:val="en-US" w:eastAsia="zh-CN"/>
        </w:rPr>
        <w:t>三相离心</w:t>
      </w:r>
      <w:bookmarkEnd w:id="16"/>
      <w:r>
        <w:rPr>
          <w:rFonts w:hint="eastAsia" w:asciiTheme="minorEastAsia" w:hAnsiTheme="minorEastAsia" w:eastAsiaTheme="minorEastAsia" w:cstheme="minorEastAsia"/>
          <w:color w:val="auto"/>
          <w:lang w:val="en-US" w:eastAsia="zh-CN"/>
        </w:rPr>
        <w:t>进行渣 - 水 - 油三相分离的提油工艺，产出粗制的生物油脂。</w:t>
      </w:r>
    </w:p>
    <w:p w14:paraId="1030C44E">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（2）外部收运地沟油采用除杂→加热→破乳→离心净化工艺进行提纯取得粗制的生物油脂。</w:t>
      </w:r>
    </w:p>
    <w:p w14:paraId="3F5DDCF3">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3、有机料：</w:t>
      </w:r>
    </w:p>
    <w:p w14:paraId="48FB54EC">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三相离心产出的固渣，颗粒物较细（小于2mm）、杂质少（区别于预处理水力制浆分选机环节产生的杂渣，含有玻璃、塑料、金属、橡胶等不易分解的物质），用于外送黑水虻养殖基地养殖黑水虻。</w:t>
      </w:r>
    </w:p>
    <w:p w14:paraId="44FF0383">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4、发酵液碳源</w:t>
      </w:r>
    </w:p>
    <w:p w14:paraId="36431771">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垃圾厌氧水解酸化产生的用于市政污水处理厂的外加碳源的发酵液。</w:t>
      </w:r>
    </w:p>
    <w:p w14:paraId="0F938686">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（五）本项目废水产排与处理方案</w:t>
      </w:r>
    </w:p>
    <w:p w14:paraId="4EC07626">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项目废水来自沼液、药剂废水、除臭排水及车间清洗废水等，进入项目现有餐厨污水处理系统（设计处理能力350t/d，纳滤作为应急保障系统）。不新增处理能力，不增加外排许可量，维持原有水平282吨/天纳管排放量，最终去向为望洪污水处理厂。</w:t>
      </w:r>
    </w:p>
    <w:p w14:paraId="0C8A6111">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（六）本项目废气产排与处理方案</w:t>
      </w:r>
    </w:p>
    <w:p w14:paraId="50311035">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项目预处理车间及调节池恶臭气体经密闭收集，进入处理风量 50000 m³/h 的臭气处理系统，采用 “化学洗涤（碱洗 + 氧化洗）+ 生物滤池” 工艺净化，废气处理达标后经 20 m 高排气筒排放。</w:t>
      </w:r>
    </w:p>
    <w:p w14:paraId="156AB1CB">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（七）本项目固体废物处置及资源化利用</w:t>
      </w:r>
    </w:p>
    <w:p w14:paraId="38FD5C96">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1、本项目生产过程中产生的生活垃圾、大件杂渣、餐厨污水处理产生的污泥，统一由项目自备生活垃圾焚烧电厂无害化处置。</w:t>
      </w:r>
    </w:p>
    <w:p w14:paraId="55DA3266">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2、三相离心产出的固渣：优先外送黑水虻养殖基地养殖黑水虻，实现资源化转化，或由自备麻涌热电厂一、二期（生活垃圾焚烧电厂）无害化处置。</w:t>
      </w:r>
    </w:p>
    <w:p w14:paraId="1B1CAAA4">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3、项目沼气经 “TTS 湿式氧化湿法脱硫 + 常温氧化铁干法精脱硫” 工艺产生的硫泥及废氧化铁脱硫剂，优先依托自备麻涌热电厂一、二期生活垃圾焚烧设施开展无害化处置，同时积极探索资源化利用途径。</w:t>
      </w:r>
    </w:p>
    <w:p w14:paraId="4606E876">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4、麻涌热电厂三期（餐厨项目）产生的实验室废液（危险废物代码900-047-49）、废弃齿轮润滑油（危险废物代码900-217-08）以及麻涌热电厂一二期备用除臭系统产生的废活性炭（危险废物代码900-039-49）、焚烧烟气处理产生的废布袋（危险废物代码900-041-49）、设备检修以及维护产生的废矿物油（危险废物代码900-249-08）、废油桶（危险废物代码900-041-49）、设施防腐产生的废油漆桶（危险废物代码900-299-12）、制水工序产生的废旧反渗透膜（危险废物代码900-041-49）、实验室废液（危险废物代码900-041-49）等危险废物持有相应危险废物经营许可证的危废处置单位进行无害化处置或再生利用。</w:t>
      </w:r>
    </w:p>
    <w:p w14:paraId="33FB5A67">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5、麻涌热电厂一、二期飞灰（危险废物代码 772-002-18），经螯合稳定化处理后送至卫生填埋场安全填埋，同时积极拓展飞灰资源化利用途径，推动固体废物减量化及资源回收利用。</w:t>
      </w:r>
    </w:p>
    <w:p w14:paraId="1C46D275">
      <w:pPr>
        <w:pStyle w:val="4"/>
        <w:ind w:firstLine="420" w:firstLineChars="20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6、麻涌热电厂一、二期产生的炉渣外运用作路基填料、混凝土骨料及各类环保建材原料。</w:t>
      </w:r>
    </w:p>
    <w:p w14:paraId="6B528FE2">
      <w:pPr>
        <w:snapToGrid/>
        <w:spacing w:before="164" w:beforeLines="50"/>
        <w:rPr>
          <w:rFonts w:hint="eastAsia" w:eastAsia="宋体"/>
          <w:b/>
          <w:bCs/>
          <w:szCs w:val="21"/>
          <w:lang w:val="en-US" w:eastAsia="zh-CN"/>
        </w:rPr>
      </w:pPr>
      <w:r>
        <w:rPr>
          <w:rFonts w:hint="eastAsia" w:eastAsia="宋体"/>
          <w:b/>
          <w:bCs/>
          <w:szCs w:val="21"/>
          <w:lang w:val="en-US" w:eastAsia="zh-CN"/>
        </w:rPr>
        <w:t>二、服务范围及要求</w:t>
      </w:r>
    </w:p>
    <w:p w14:paraId="6E8D1992">
      <w:pPr>
        <w:ind w:firstLine="420" w:firstLineChars="200"/>
        <w:rPr>
          <w:rFonts w:hint="eastAsia"/>
        </w:rPr>
      </w:pPr>
      <w:r>
        <w:rPr>
          <w:rFonts w:hint="eastAsia"/>
        </w:rPr>
        <w:t>本次采购为一站式环保技术服务，包含</w:t>
      </w:r>
      <w:r>
        <w:rPr>
          <w:rFonts w:hint="eastAsia"/>
          <w:b/>
          <w:bCs/>
        </w:rPr>
        <w:t>项目环境影响评价服务、竣工环境保护验收服务、突发环境事件应急预案编制及备案服务</w:t>
      </w:r>
      <w:r>
        <w:rPr>
          <w:rFonts w:hint="eastAsia"/>
        </w:rPr>
        <w:t>三大模块，</w:t>
      </w:r>
      <w:r>
        <w:rPr>
          <w:rFonts w:hint="eastAsia"/>
          <w:lang w:val="en-US" w:eastAsia="zh-CN"/>
        </w:rPr>
        <w:t>中标人</w:t>
      </w:r>
      <w:r>
        <w:rPr>
          <w:rFonts w:hint="eastAsia"/>
        </w:rPr>
        <w:t>需全程负责资料收集、现场勘查、报告编制、公示评审、备案归档、系统填报等全部工作，确保所有环保手续合法有效、符合生态环境主管部门监管要求，保障项目技改后顺利投产运营。</w:t>
      </w:r>
    </w:p>
    <w:p w14:paraId="65E8F5AE">
      <w:pPr>
        <w:snapToGrid/>
        <w:spacing w:before="164" w:beforeLines="50"/>
        <w:rPr>
          <w:rFonts w:hint="eastAsia" w:ascii="Tahoma" w:hAnsi="Tahoma" w:eastAsia="宋体" w:cstheme="minorBidi"/>
          <w:b/>
          <w:bCs/>
          <w:szCs w:val="21"/>
          <w:lang w:val="en-US" w:eastAsia="zh-CN"/>
        </w:rPr>
      </w:pPr>
      <w:r>
        <w:rPr>
          <w:rFonts w:hint="eastAsia" w:eastAsia="宋体"/>
          <w:b/>
          <w:bCs/>
          <w:szCs w:val="21"/>
          <w:lang w:val="en-US" w:eastAsia="zh-CN"/>
        </w:rPr>
        <w:t>三、</w:t>
      </w:r>
      <w:r>
        <w:rPr>
          <w:rFonts w:hint="eastAsia" w:ascii="Tahoma" w:hAnsi="Tahoma" w:eastAsia="宋体" w:cstheme="minorBidi"/>
          <w:b/>
          <w:bCs/>
          <w:szCs w:val="21"/>
          <w:lang w:val="en-US" w:eastAsia="zh-CN"/>
        </w:rPr>
        <w:t>分项服务具体需求</w:t>
      </w:r>
    </w:p>
    <w:p w14:paraId="51D8F03B">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（一）环境影响评价服务</w:t>
      </w:r>
    </w:p>
    <w:p w14:paraId="7B4C2358">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结合本餐厨垃圾提效技改项目的建设内容、工艺变更、产能提升、污染物排放及处置方式等情况，按照国家及地方现行环保法律法规、环评技术导则开展本次技改项目环境影响评价工作，具体内容如下：</w:t>
      </w:r>
    </w:p>
    <w:p w14:paraId="57D3CBFA">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b/>
          <w:bCs/>
          <w:lang w:val="en-US" w:eastAsia="zh-CN"/>
        </w:rPr>
        <w:t>前期调研与资料梳理</w:t>
      </w:r>
      <w:r>
        <w:rPr>
          <w:rFonts w:hint="eastAsia" w:asciiTheme="minorEastAsia" w:hAnsiTheme="minorEastAsia" w:eastAsiaTheme="minorEastAsia" w:cstheme="minorEastAsia"/>
          <w:lang w:val="en-US" w:eastAsia="zh-CN"/>
        </w:rPr>
        <w:t>：全面收集项目原有环评、验收、排污许可、工艺流程、设备清单、污染物处置方案等资料，现场勘查项目技改前后建设内容、厂区布局、环保设施、周边环境敏感点，核实技改后产能、工艺、产排污变化情况，明确本次技改环评评价重点</w:t>
      </w:r>
      <w:r>
        <w:rPr>
          <w:rFonts w:hint="eastAsia" w:asciiTheme="minorEastAsia" w:hAnsiTheme="minorEastAsia" w:eastAsiaTheme="minorEastAsia" w:cstheme="minorEastAsia"/>
        </w:rPr>
        <w:t>。</w:t>
      </w:r>
    </w:p>
    <w:p w14:paraId="1F3CFB63">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b/>
          <w:bCs/>
          <w:lang w:val="en-US" w:eastAsia="zh-CN"/>
        </w:rPr>
        <w:t>现状监测与评价：</w:t>
      </w:r>
      <w:r>
        <w:rPr>
          <w:rFonts w:hint="eastAsia" w:asciiTheme="minorEastAsia" w:hAnsiTheme="minorEastAsia" w:eastAsiaTheme="minorEastAsia" w:cstheme="minorEastAsia"/>
          <w:lang w:val="en-US" w:eastAsia="zh-CN"/>
        </w:rPr>
        <w:t>根据环评规范要求，开展项目所在地大气、地表水、噪声、土壤及地下水环境现状调查与监测，分析现有环境质量达标情况，结合技改后生产工况，核算废气、废水、固废、噪声新增及整体产排污量</w:t>
      </w:r>
      <w:r>
        <w:rPr>
          <w:rFonts w:hint="eastAsia" w:asciiTheme="minorEastAsia" w:hAnsiTheme="minorEastAsia" w:eastAsiaTheme="minorEastAsia" w:cstheme="minorEastAsia"/>
        </w:rPr>
        <w:t>。</w:t>
      </w:r>
    </w:p>
    <w:p w14:paraId="0ABC499F">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b/>
          <w:bCs/>
          <w:lang w:val="en-US" w:eastAsia="zh-CN"/>
        </w:rPr>
        <w:t>环境影响预测分析：</w:t>
      </w:r>
      <w:r>
        <w:rPr>
          <w:rFonts w:hint="eastAsia" w:asciiTheme="minorEastAsia" w:hAnsiTheme="minorEastAsia" w:eastAsiaTheme="minorEastAsia" w:cstheme="minorEastAsia"/>
          <w:lang w:val="en-US" w:eastAsia="zh-CN"/>
        </w:rPr>
        <w:t>重点分析水力制浆分选机运行过程中的污染物产生、排放特征，预判技改项目对周边生态环境的影响范围与影响程度，针对性分析浆料水解酸化工艺可行性、酸化后碳源产品质量标准、餐厨尾水回用、固渣外运养虫、污泥、杂渣、硫膏等固废焚烧处置、污水纳管外排等环节的环境合规性</w:t>
      </w:r>
      <w:r>
        <w:rPr>
          <w:rFonts w:hint="eastAsia" w:asciiTheme="minorEastAsia" w:hAnsiTheme="minorEastAsia" w:eastAsiaTheme="minorEastAsia" w:cstheme="minorEastAsia"/>
        </w:rPr>
        <w:t>。</w:t>
      </w:r>
    </w:p>
    <w:p w14:paraId="4F10B6CE">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b/>
          <w:bCs/>
          <w:lang w:val="en-US" w:eastAsia="zh-CN"/>
        </w:rPr>
        <w:t>环保措施论证：</w:t>
      </w:r>
      <w:r>
        <w:rPr>
          <w:rFonts w:hint="eastAsia" w:asciiTheme="minorEastAsia" w:hAnsiTheme="minorEastAsia" w:eastAsiaTheme="minorEastAsia" w:cstheme="minorEastAsia"/>
          <w:lang w:val="en-US" w:eastAsia="zh-CN"/>
        </w:rPr>
        <w:t>结合项目技改特点，论证现有环保设施的适配性，核实技改后不新增污水处置能力、不增加外排许可排放水量的合规性及可行性，优化完善废气治理、噪声防控、固废规范处置、环境风险防控等环保措施，确保各项污染物稳定达标排放</w:t>
      </w:r>
      <w:r>
        <w:rPr>
          <w:rFonts w:hint="eastAsia" w:asciiTheme="minorEastAsia" w:hAnsiTheme="minorEastAsia" w:eastAsiaTheme="minorEastAsia" w:cstheme="minorEastAsia"/>
        </w:rPr>
        <w:t>。</w:t>
      </w:r>
    </w:p>
    <w:p w14:paraId="0F2BBE6F">
      <w:pPr>
        <w:ind w:firstLine="420" w:firstLineChars="200"/>
        <w:rPr>
          <w:rFonts w:hint="eastAsia"/>
        </w:rPr>
      </w:pPr>
      <w:r>
        <w:rPr>
          <w:rFonts w:hint="eastAsia" w:asciiTheme="minorEastAsia" w:hAnsiTheme="minorEastAsia" w:eastAsiaTheme="minorEastAsia" w:cstheme="minorEastAsia"/>
        </w:rPr>
        <w:t>5</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b/>
          <w:bCs/>
          <w:lang w:val="en-US" w:eastAsia="zh-CN"/>
        </w:rPr>
        <w:t>报告编制与报审：</w:t>
      </w:r>
      <w:r>
        <w:rPr>
          <w:rFonts w:hint="eastAsia" w:asciiTheme="minorEastAsia" w:hAnsiTheme="minorEastAsia" w:eastAsiaTheme="minorEastAsia" w:cstheme="minorEastAsia"/>
          <w:lang w:val="en-US" w:eastAsia="zh-CN"/>
        </w:rPr>
        <w:t>规范编制本次技改项目环境影响评价报告书，完成项目公示、专家评审、修改完善等全部工作，直至取得生态环境主管部门出具的环评批复文件，完成全部环评手续</w:t>
      </w:r>
      <w:r>
        <w:rPr>
          <w:rFonts w:hint="eastAsia"/>
        </w:rPr>
        <w:t>。</w:t>
      </w:r>
    </w:p>
    <w:p w14:paraId="0903E566">
      <w:pPr>
        <w:ind w:firstLine="420" w:firstLineChars="200"/>
        <w:rPr>
          <w:rFonts w:hint="eastAsia"/>
        </w:rPr>
      </w:pPr>
      <w:r>
        <w:rPr>
          <w:rFonts w:hint="eastAsia"/>
        </w:rPr>
        <w:t>（二）竣工环境保护验收服务</w:t>
      </w:r>
    </w:p>
    <w:p w14:paraId="39180B97">
      <w:pPr>
        <w:ind w:firstLine="420" w:firstLineChars="200"/>
        <w:rPr>
          <w:rFonts w:hint="eastAsia" w:asciiTheme="minorEastAsia" w:hAnsiTheme="minorEastAsia" w:eastAsiaTheme="minorEastAsia" w:cstheme="minorEastAsia"/>
        </w:rPr>
      </w:pPr>
      <w:r>
        <w:rPr>
          <w:rFonts w:hint="eastAsia"/>
        </w:rPr>
        <w:t>项目技改完成、设备调试到位后，依据《建设项目竣工环境保护验收暂行办法》等规范要求，开展项目</w:t>
      </w:r>
      <w:r>
        <w:rPr>
          <w:rFonts w:hint="eastAsia" w:asciiTheme="minorEastAsia" w:hAnsiTheme="minorEastAsia" w:eastAsiaTheme="minorEastAsia" w:cstheme="minorEastAsia"/>
        </w:rPr>
        <w:t>竣工环保验收全流程技术服务，核实项目环保设施建设、污染物排放、环保措施落实情况，具体如下：</w:t>
      </w:r>
    </w:p>
    <w:p w14:paraId="2F27F628">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b/>
          <w:bCs/>
        </w:rPr>
        <w:t>验收核查与监测方案制定：</w:t>
      </w:r>
      <w:r>
        <w:rPr>
          <w:rFonts w:hint="eastAsia" w:asciiTheme="minorEastAsia" w:hAnsiTheme="minorEastAsia" w:eastAsiaTheme="minorEastAsia" w:cstheme="minorEastAsia"/>
        </w:rPr>
        <w:t>对照环评批复及现行环保标准，全面核查技改项目建设内容、预处理工艺改造、环保设施配套、污染物处置流程落实情况，制定专项竣工环保验收监测方案，明确监测点位、监测因子、监测频次。</w:t>
      </w:r>
    </w:p>
    <w:p w14:paraId="08CCFBCE">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b/>
          <w:bCs/>
        </w:rPr>
        <w:t>现场监测与数据核算：</w:t>
      </w:r>
      <w:r>
        <w:rPr>
          <w:rFonts w:hint="eastAsia" w:asciiTheme="minorEastAsia" w:hAnsiTheme="minorEastAsia" w:eastAsiaTheme="minorEastAsia" w:cstheme="minorEastAsia"/>
        </w:rPr>
        <w:t>组织开展现场采样监测，完成技改后废气、厂界噪声、污水外排水质等指标检测，核算项目整体及新增污染物排放总量，核实项目污水纳管排放总量、固废处置、碳源外供、有机料外售等关键环节合规性，确认技改未新增污水处理处置能力及纳管排放许可量。</w:t>
      </w:r>
    </w:p>
    <w:p w14:paraId="02195645">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b/>
          <w:bCs/>
        </w:rPr>
        <w:t>验收报告编制：</w:t>
      </w:r>
      <w:r>
        <w:rPr>
          <w:rFonts w:hint="eastAsia" w:asciiTheme="minorEastAsia" w:hAnsiTheme="minorEastAsia" w:eastAsiaTheme="minorEastAsia" w:cstheme="minorEastAsia"/>
        </w:rPr>
        <w:t>根据监测数据、现场核查情况，编制《建设项目竣工环境保护验收监测报告》，梳理项目环保制度建设、环保设施运行、污染物达标排放、环境风险防控等内容，客观评价项目环保验收达标情况。</w:t>
      </w:r>
    </w:p>
    <w:p w14:paraId="31EE6AB2">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b/>
          <w:bCs/>
        </w:rPr>
        <w:t>验收评审与备案公示：</w:t>
      </w:r>
      <w:r>
        <w:rPr>
          <w:rFonts w:hint="eastAsia" w:asciiTheme="minorEastAsia" w:hAnsiTheme="minorEastAsia" w:eastAsiaTheme="minorEastAsia" w:cstheme="minorEastAsia"/>
        </w:rPr>
        <w:t>协助组织竣工环保验收专家评审会，根据评审意见修改完善报告，完成项目验收公示，在全国建设项目竣工环境保护验收信息系统完成填报、备案，出具合法有效的验收备案成果，确保项目环保验收手续完整合规。</w:t>
      </w:r>
    </w:p>
    <w:p w14:paraId="5C7A8521">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（三）突发环境事件应急预案服务</w:t>
      </w:r>
    </w:p>
    <w:p w14:paraId="67528A7C">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结合本次麻涌餐厨预处理系统提效工程技改后新设备、产能提升带来的环境风险变化以及麻涌热电厂一二期现状，按照《突发环境事件应急预案管理暂行办法》及地方生态环境部门要求，编制项目突发环境事件应急预案，完成风险评估、资源调查、评审备案全流程工作，具体如下：</w:t>
      </w:r>
    </w:p>
    <w:p w14:paraId="59F27D04">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b/>
          <w:bCs/>
        </w:rPr>
        <w:t>环境风险排查与评估：</w:t>
      </w:r>
      <w:r>
        <w:rPr>
          <w:rFonts w:hint="eastAsia" w:asciiTheme="minorEastAsia" w:hAnsiTheme="minorEastAsia" w:eastAsiaTheme="minorEastAsia" w:cstheme="minorEastAsia"/>
          <w:lang w:val="en-US" w:eastAsia="zh-CN"/>
        </w:rPr>
        <w:t>全面排查生活垃圾焚烧项目焚烧发电、餐厨项目水力制浆、分选及洗油、餐厨浆料水解酸化制备碳源、渗滤液处理、餐厨污水处理、生活污水处理、固废危废（炉渣、飞灰、污泥、杂渣、固泥、硫泥、废氧化铁脱硫剂、废弃齿轮润滑油、废矿物油、废油桶、油漆桶、实验室废液、废布袋、废活性炭、废旧反渗透膜等）暂存及处置等环节的环境风险源。识别废水泄漏、沼气溢出、异味扩散、固废流失等突发环境风险，完成突发环境事件风险评估，确定风险等级</w:t>
      </w:r>
      <w:r>
        <w:rPr>
          <w:rFonts w:hint="eastAsia" w:asciiTheme="minorEastAsia" w:hAnsiTheme="minorEastAsia" w:eastAsiaTheme="minorEastAsia" w:cstheme="minorEastAsia"/>
        </w:rPr>
        <w:t>。</w:t>
      </w:r>
    </w:p>
    <w:p w14:paraId="6AA70A28">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b/>
          <w:bCs/>
        </w:rPr>
        <w:t>应急资源调查：</w:t>
      </w:r>
      <w:r>
        <w:rPr>
          <w:rFonts w:hint="eastAsia" w:asciiTheme="minorEastAsia" w:hAnsiTheme="minorEastAsia" w:eastAsiaTheme="minorEastAsia" w:cstheme="minorEastAsia"/>
          <w:lang w:val="en-US" w:eastAsia="zh-CN"/>
        </w:rPr>
        <w:t>核查厂区现有应急物资、应急设备、应急队伍、应急处置能力，梳理周边可联动应急资源，编制环境应急资源调查报告，补齐应急资源短板，保障应急处置能力适配项目技改后工况</w:t>
      </w:r>
      <w:r>
        <w:rPr>
          <w:rFonts w:hint="eastAsia" w:asciiTheme="minorEastAsia" w:hAnsiTheme="minorEastAsia" w:eastAsiaTheme="minorEastAsia" w:cstheme="minorEastAsia"/>
        </w:rPr>
        <w:t>。</w:t>
      </w:r>
    </w:p>
    <w:p w14:paraId="5FE6307F">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b/>
          <w:bCs/>
        </w:rPr>
        <w:t>预案编制完善：</w:t>
      </w:r>
      <w:r>
        <w:rPr>
          <w:rFonts w:hint="eastAsia" w:asciiTheme="minorEastAsia" w:hAnsiTheme="minorEastAsia" w:eastAsiaTheme="minorEastAsia" w:cstheme="minorEastAsia"/>
          <w:lang w:val="en-US" w:eastAsia="zh-CN"/>
        </w:rPr>
        <w:t>编制《突发环境事件应急预案》，明确应急组织机构、岗位职责、预警机制、应急响应流程、现场处置方案、善后处置、应急演练计划等内容，重点完善餐厨垃圾预处理、废水、沼气、固废相关突发环境事件的专项处置方案，确保预案针对性、可操作性强，与区域应急预案有效衔接</w:t>
      </w:r>
      <w:r>
        <w:rPr>
          <w:rFonts w:hint="eastAsia" w:asciiTheme="minorEastAsia" w:hAnsiTheme="minorEastAsia" w:eastAsiaTheme="minorEastAsia" w:cstheme="minorEastAsia"/>
        </w:rPr>
        <w:t>。</w:t>
      </w:r>
    </w:p>
    <w:p w14:paraId="0C2A3207">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b/>
          <w:bCs/>
          <w:lang w:val="en-US" w:eastAsia="zh-CN"/>
        </w:rPr>
        <w:t>评审备案与交底：</w:t>
      </w:r>
      <w:r>
        <w:rPr>
          <w:rFonts w:hint="eastAsia" w:asciiTheme="minorEastAsia" w:hAnsiTheme="minorEastAsia" w:eastAsiaTheme="minorEastAsia" w:cstheme="minorEastAsia"/>
          <w:lang w:val="en-US" w:eastAsia="zh-CN"/>
        </w:rPr>
        <w:t>协助组织预案专家评审，根据评审意见修改完善预案文本，完成企业内部公示，向生态环境主管部门完成应急预案备案，取得备案回执；同步完成预案技术交底，提供应急培训、演练指导资料</w:t>
      </w:r>
      <w:r>
        <w:rPr>
          <w:rFonts w:hint="eastAsia" w:asciiTheme="minorEastAsia" w:hAnsiTheme="minorEastAsia" w:eastAsiaTheme="minorEastAsia" w:cstheme="minorEastAsia"/>
        </w:rPr>
        <w:t>。</w:t>
      </w:r>
    </w:p>
    <w:p w14:paraId="2BB2BE67">
      <w:pPr>
        <w:pStyle w:val="2"/>
        <w:rPr>
          <w:rFonts w:hint="eastAsia"/>
        </w:rPr>
      </w:pPr>
    </w:p>
    <w:p w14:paraId="77A14155">
      <w:pPr>
        <w:snapToGrid/>
        <w:spacing w:before="164" w:beforeLines="50"/>
        <w:rPr>
          <w:rFonts w:hint="eastAsia" w:ascii="Tahoma" w:hAnsi="Tahoma" w:eastAsia="宋体" w:cstheme="minorBidi"/>
          <w:b/>
          <w:bCs/>
          <w:szCs w:val="21"/>
          <w:lang w:val="en-US" w:eastAsia="zh-CN"/>
        </w:rPr>
      </w:pPr>
      <w:r>
        <w:rPr>
          <w:rFonts w:hint="eastAsia" w:eastAsia="宋体"/>
          <w:b/>
          <w:bCs/>
          <w:szCs w:val="21"/>
          <w:lang w:val="en-US" w:eastAsia="zh-CN"/>
        </w:rPr>
        <w:t>四、技术标准与合规要求</w:t>
      </w:r>
    </w:p>
    <w:p w14:paraId="35788A25">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所有服务工作必须严格遵守中华人民共和国国家、广东省、东莞市及项目所在地现行有效的生态环境保护法律、行政法规、部门规章、地方性法规及规范性文件，以及现行有效的生态环境技术导则、技术规范和标准，主要包括但不限于：《中华人民共和国生态环境法典》、《建设项目环境保护管理条例》、《建设项目竣工环境保护验收暂行办法》、《突发环境事件应急管理办法》</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餐厨垃圾处理技术规范》以及环境影响评价技术导则体系和大气、水、固体废物、噪声、土壤等污染防治领域现行有效的国家、行业及地方排放标准与技术规范，确保所有成果文件合规合法、顺利通过评审及备案。</w:t>
      </w:r>
    </w:p>
    <w:p w14:paraId="43F321BD">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中标人</w:t>
      </w:r>
      <w:r>
        <w:rPr>
          <w:rFonts w:hint="eastAsia" w:asciiTheme="minorEastAsia" w:hAnsiTheme="minorEastAsia" w:eastAsiaTheme="minorEastAsia" w:cstheme="minorEastAsia"/>
        </w:rPr>
        <w:t>需充分结合本项目技改核心特点：水力制浆分选机制浆、分选及洗油、浆料水解酸化后作为碳源外供、无新增污水外排总量、固废厂内焚烧处置、固渣养虫资源化渠道等关键内容开展工作，确保评价、验收、风险防控内容贴合项目实际，无遗漏、无错项。</w:t>
      </w:r>
    </w:p>
    <w:p w14:paraId="76FA3E95">
      <w:pPr>
        <w:snapToGrid/>
        <w:spacing w:before="164" w:beforeLines="50"/>
        <w:rPr>
          <w:rFonts w:hint="eastAsia" w:ascii="Tahoma" w:hAnsi="Tahoma" w:eastAsia="宋体" w:cstheme="minorBidi"/>
          <w:b/>
          <w:bCs/>
          <w:szCs w:val="21"/>
          <w:lang w:val="en-US" w:eastAsia="zh-CN"/>
        </w:rPr>
      </w:pPr>
      <w:r>
        <w:rPr>
          <w:rFonts w:hint="eastAsia" w:eastAsia="宋体"/>
          <w:b/>
          <w:bCs/>
          <w:szCs w:val="21"/>
          <w:lang w:val="en-US" w:eastAsia="zh-CN"/>
        </w:rPr>
        <w:t>五、交付成果要求</w:t>
      </w:r>
    </w:p>
    <w:p w14:paraId="022D6371">
      <w:pPr>
        <w:ind w:firstLine="420" w:firstLineChars="200"/>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中标人</w:t>
      </w:r>
      <w:r>
        <w:rPr>
          <w:rFonts w:hint="eastAsia" w:asciiTheme="minorEastAsia" w:hAnsiTheme="minorEastAsia" w:eastAsiaTheme="minorEastAsia" w:cstheme="minorEastAsia"/>
        </w:rPr>
        <w:t>需完整交付以下全套纸质版、电子版成果文件，纸质版</w:t>
      </w:r>
      <w:r>
        <w:rPr>
          <w:rFonts w:hint="eastAsia" w:asciiTheme="minorEastAsia" w:hAnsiTheme="minorEastAsia" w:eastAsiaTheme="minorEastAsia" w:cstheme="minorEastAsia"/>
          <w:lang w:val="en-US" w:eastAsia="zh-CN"/>
        </w:rPr>
        <w:t>4</w:t>
      </w:r>
      <w:r>
        <w:rPr>
          <w:rFonts w:hint="eastAsia" w:asciiTheme="minorEastAsia" w:hAnsiTheme="minorEastAsia" w:eastAsiaTheme="minorEastAsia" w:cstheme="minorEastAsia"/>
        </w:rPr>
        <w:t>套（含盖章原件），</w:t>
      </w:r>
      <w:r>
        <w:rPr>
          <w:rFonts w:hint="eastAsia" w:asciiTheme="minorEastAsia" w:hAnsiTheme="minorEastAsia" w:eastAsiaTheme="minorEastAsia" w:cstheme="minorEastAsia"/>
          <w:lang w:val="en-US" w:eastAsia="zh-CN"/>
        </w:rPr>
        <w:t>1套</w:t>
      </w:r>
      <w:r>
        <w:rPr>
          <w:rFonts w:hint="eastAsia" w:asciiTheme="minorEastAsia" w:hAnsiTheme="minorEastAsia" w:eastAsiaTheme="minorEastAsia" w:cstheme="minorEastAsia"/>
        </w:rPr>
        <w:t>电子版全套归档文件（PDF+可编辑版本）</w:t>
      </w:r>
      <w:r>
        <w:rPr>
          <w:rFonts w:hint="eastAsia" w:asciiTheme="minorEastAsia" w:hAnsiTheme="minorEastAsia" w:eastAsiaTheme="minorEastAsia" w:cstheme="minorEastAsia"/>
          <w:lang w:eastAsia="zh-CN"/>
        </w:rPr>
        <w:t>；</w:t>
      </w:r>
    </w:p>
    <w:p w14:paraId="7C90F6FB">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技改项目环境影响评价报告及生态环境部门批复文件、公示资料、系统备案截图；</w:t>
      </w:r>
    </w:p>
    <w:p w14:paraId="251F216C">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项目竣工环境保护验收监测报告、验收意见、公示文件、全国验收系统备案资料；</w:t>
      </w:r>
    </w:p>
    <w:p w14:paraId="0839B2AE">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突发环境事件风险评估报告、环境应急资源调查报告、突发环境事件应急预案文本、专家评审意见、备案回执；</w:t>
      </w:r>
    </w:p>
    <w:p w14:paraId="4B5C573E">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项目全套环保技术服务台账、监测原始数据、评审资料、归档资料。</w:t>
      </w:r>
    </w:p>
    <w:p w14:paraId="6FBF5A33">
      <w:pPr>
        <w:snapToGrid/>
        <w:spacing w:before="164" w:beforeLines="50"/>
        <w:rPr>
          <w:rFonts w:hint="eastAsia" w:ascii="Tahoma" w:hAnsi="Tahoma" w:eastAsia="宋体" w:cstheme="minorBidi"/>
          <w:b/>
          <w:bCs/>
          <w:szCs w:val="21"/>
          <w:lang w:val="en-US" w:eastAsia="zh-CN"/>
        </w:rPr>
      </w:pPr>
      <w:r>
        <w:rPr>
          <w:rFonts w:hint="eastAsia" w:eastAsia="宋体"/>
          <w:b/>
          <w:bCs/>
          <w:szCs w:val="21"/>
          <w:lang w:val="en-US" w:eastAsia="zh-CN"/>
        </w:rPr>
        <w:t>★六、拟投入项目人员要求</w:t>
      </w:r>
    </w:p>
    <w:p w14:paraId="4715ABEF">
      <w:pPr>
        <w:ind w:firstLine="42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1、环评报告书编制主持人</w:t>
      </w:r>
    </w:p>
    <w:p w14:paraId="2AAB51DB">
      <w:pPr>
        <w:ind w:firstLine="42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（1）持有环境影响评价工程师职业资格证书，登记在投标人单位名下（全国环评信用平台可核验）；</w:t>
      </w:r>
    </w:p>
    <w:p w14:paraId="7AEA88D9">
      <w:pPr>
        <w:ind w:firstLine="42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（2）为本单位全职人员。</w:t>
      </w:r>
    </w:p>
    <w:p w14:paraId="5769605A">
      <w:pPr>
        <w:ind w:firstLine="422" w:firstLineChars="200"/>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b/>
          <w:bCs/>
          <w:lang w:val="en-US" w:eastAsia="zh-CN"/>
        </w:rPr>
        <w:t>注：提供环评报告书编制主持人有效证书复印件</w:t>
      </w:r>
      <w:r>
        <w:rPr>
          <w:rFonts w:hint="eastAsia" w:ascii="宋体" w:hAnsi="宋体" w:eastAsia="宋体" w:cs="宋体"/>
          <w:b/>
          <w:bCs/>
          <w:color w:val="000000"/>
          <w:sz w:val="21"/>
          <w:szCs w:val="21"/>
          <w:highlight w:val="none"/>
        </w:rPr>
        <w:t>及社会保障部门出具的在投标截止日前6个月内</w:t>
      </w:r>
      <w:r>
        <w:rPr>
          <w:rFonts w:hint="eastAsia" w:ascii="宋体" w:hAnsi="宋体" w:eastAsia="宋体" w:cs="宋体"/>
          <w:b/>
          <w:bCs/>
          <w:color w:val="000000"/>
          <w:sz w:val="21"/>
          <w:szCs w:val="21"/>
          <w:highlight w:val="none"/>
          <w:lang w:val="en-US" w:eastAsia="zh-CN"/>
        </w:rPr>
        <w:t>连续3</w:t>
      </w:r>
      <w:r>
        <w:rPr>
          <w:rFonts w:hint="eastAsia" w:ascii="宋体" w:hAnsi="宋体" w:eastAsia="宋体" w:cs="宋体"/>
          <w:b/>
          <w:bCs/>
          <w:color w:val="000000"/>
          <w:sz w:val="21"/>
          <w:szCs w:val="21"/>
          <w:highlight w:val="none"/>
        </w:rPr>
        <w:t>个月（</w:t>
      </w:r>
      <w:r>
        <w:rPr>
          <w:rFonts w:hint="eastAsia" w:ascii="宋体" w:hAnsi="宋体" w:eastAsia="宋体" w:cs="宋体"/>
          <w:b/>
          <w:bCs/>
          <w:color w:val="000000"/>
          <w:sz w:val="21"/>
          <w:szCs w:val="21"/>
          <w:highlight w:val="none"/>
          <w:lang w:val="en-US" w:eastAsia="zh-CN"/>
        </w:rPr>
        <w:t>不</w:t>
      </w:r>
      <w:r>
        <w:rPr>
          <w:rFonts w:hint="eastAsia" w:ascii="宋体" w:hAnsi="宋体" w:eastAsia="宋体" w:cs="宋体"/>
          <w:b/>
          <w:bCs/>
          <w:color w:val="000000"/>
          <w:sz w:val="21"/>
          <w:szCs w:val="21"/>
          <w:highlight w:val="none"/>
        </w:rPr>
        <w:t>含</w:t>
      </w:r>
      <w:r>
        <w:rPr>
          <w:rFonts w:hint="eastAsia" w:ascii="宋体" w:hAnsi="宋体" w:eastAsia="宋体" w:cs="宋体"/>
          <w:b/>
          <w:bCs/>
          <w:color w:val="000000"/>
          <w:sz w:val="21"/>
          <w:szCs w:val="21"/>
          <w:highlight w:val="none"/>
          <w:lang w:val="en-US" w:eastAsia="zh-CN"/>
        </w:rPr>
        <w:t>开标</w:t>
      </w:r>
      <w:r>
        <w:rPr>
          <w:rFonts w:hint="eastAsia" w:ascii="宋体" w:hAnsi="宋体" w:eastAsia="宋体" w:cs="宋体"/>
          <w:b/>
          <w:bCs/>
          <w:color w:val="000000"/>
          <w:sz w:val="21"/>
          <w:szCs w:val="21"/>
          <w:highlight w:val="none"/>
        </w:rPr>
        <w:t>当月）</w:t>
      </w:r>
      <w:r>
        <w:rPr>
          <w:rFonts w:hint="eastAsia" w:ascii="宋体" w:hAnsi="宋体" w:eastAsia="宋体" w:cs="宋体"/>
          <w:b/>
          <w:bCs/>
          <w:color w:val="000000"/>
          <w:sz w:val="21"/>
          <w:szCs w:val="21"/>
          <w:highlight w:val="none"/>
          <w:lang w:val="en-US" w:eastAsia="zh-CN"/>
        </w:rPr>
        <w:t>投标人为其</w:t>
      </w:r>
      <w:r>
        <w:rPr>
          <w:rFonts w:hint="eastAsia" w:ascii="宋体" w:hAnsi="宋体" w:eastAsia="宋体" w:cs="宋体"/>
          <w:b/>
          <w:bCs/>
          <w:color w:val="000000"/>
          <w:sz w:val="21"/>
          <w:szCs w:val="21"/>
          <w:highlight w:val="none"/>
        </w:rPr>
        <w:t>缴纳的社保凭证复印件</w:t>
      </w:r>
      <w:r>
        <w:rPr>
          <w:rFonts w:hint="eastAsia" w:ascii="宋体" w:hAnsi="宋体" w:eastAsia="宋体" w:cs="宋体"/>
          <w:b/>
          <w:bCs/>
          <w:color w:val="000000"/>
          <w:sz w:val="21"/>
          <w:szCs w:val="21"/>
          <w:highlight w:val="none"/>
          <w:lang w:val="en-US" w:eastAsia="zh-CN"/>
        </w:rPr>
        <w:t>加盖投标人公章。</w:t>
      </w:r>
    </w:p>
    <w:p w14:paraId="2EF7EFD7">
      <w:pPr>
        <w:snapToGrid/>
        <w:spacing w:before="0" w:beforeLines="-2147483648"/>
        <w:ind w:firstLine="422" w:firstLineChars="200"/>
        <w:rPr>
          <w:rFonts w:hint="eastAsia" w:ascii="Tahoma" w:hAnsi="Tahoma" w:eastAsia="宋体" w:cstheme="minorBidi"/>
          <w:b/>
          <w:bCs/>
          <w:szCs w:val="21"/>
          <w:lang w:val="en-US" w:eastAsia="zh-CN"/>
        </w:rPr>
      </w:pPr>
      <w:r>
        <w:rPr>
          <w:rFonts w:hint="eastAsia" w:eastAsia="宋体"/>
          <w:b/>
          <w:bCs/>
          <w:szCs w:val="21"/>
          <w:lang w:val="en-US" w:eastAsia="zh-CN"/>
        </w:rPr>
        <w:t>七、投保标准及时效要求</w:t>
      </w:r>
    </w:p>
    <w:p w14:paraId="4939242A">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（一）投保险种及保额标准</w:t>
      </w:r>
    </w:p>
    <w:p w14:paraId="3831BD00">
      <w:pPr>
        <w:ind w:firstLine="420" w:firstLineChars="200"/>
        <w:rPr>
          <w:rFonts w:hint="eastAsia"/>
        </w:rPr>
      </w:pPr>
      <w:r>
        <w:t>中标人必须为本项目</w:t>
      </w:r>
      <w:r>
        <w:rPr>
          <w:rFonts w:hint="eastAsia"/>
        </w:rPr>
        <w:t>所有进场服务人员均须购买工伤保险和意外伤害保险（不少于100万保额），在</w:t>
      </w:r>
      <w:r>
        <w:rPr>
          <w:rFonts w:hint="eastAsia"/>
          <w:lang w:val="en-US" w:eastAsia="zh-CN"/>
        </w:rPr>
        <w:t>场</w:t>
      </w:r>
      <w:r>
        <w:rPr>
          <w:rFonts w:hint="eastAsia"/>
        </w:rPr>
        <w:t>服务人员进场前向</w:t>
      </w:r>
      <w:r>
        <w:rPr>
          <w:rFonts w:hint="eastAsia"/>
          <w:lang w:val="en-US" w:eastAsia="zh-CN"/>
        </w:rPr>
        <w:t>采购人</w:t>
      </w:r>
      <w:r>
        <w:rPr>
          <w:rFonts w:hint="eastAsia"/>
        </w:rPr>
        <w:t>提交相关资料</w:t>
      </w:r>
      <w:r>
        <w:rPr>
          <w:rFonts w:hint="eastAsia"/>
          <w:lang w:eastAsia="zh-CN"/>
        </w:rPr>
        <w:t>。</w:t>
      </w:r>
      <w:r>
        <w:rPr>
          <w:rFonts w:hint="eastAsia"/>
        </w:rPr>
        <w:t>保险费用已计入本合同服务费总价，由</w:t>
      </w:r>
      <w:r>
        <w:rPr>
          <w:rFonts w:hint="eastAsia"/>
          <w:lang w:val="en-US" w:eastAsia="zh-CN"/>
        </w:rPr>
        <w:t>中标人</w:t>
      </w:r>
      <w:r>
        <w:rPr>
          <w:rFonts w:hint="eastAsia"/>
        </w:rPr>
        <w:t>承担，</w:t>
      </w:r>
      <w:r>
        <w:rPr>
          <w:rFonts w:hint="eastAsia"/>
          <w:lang w:val="en-US" w:eastAsia="zh-CN"/>
        </w:rPr>
        <w:t>采购人</w:t>
      </w:r>
      <w:r>
        <w:rPr>
          <w:rFonts w:hint="eastAsia"/>
        </w:rPr>
        <w:t>不再另行支付。</w:t>
      </w:r>
      <w:r>
        <w:rPr>
          <w:rFonts w:hint="eastAsia"/>
          <w:lang w:val="en-US" w:eastAsia="zh-CN"/>
        </w:rPr>
        <w:t>中标人</w:t>
      </w:r>
      <w:r>
        <w:rPr>
          <w:rFonts w:hint="eastAsia"/>
        </w:rPr>
        <w:t>人员进场施工前，须先行保险投保手续，并向</w:t>
      </w:r>
      <w:r>
        <w:rPr>
          <w:rFonts w:hint="eastAsia"/>
          <w:lang w:val="en-US" w:eastAsia="zh-CN"/>
        </w:rPr>
        <w:t>采购人</w:t>
      </w:r>
      <w:r>
        <w:rPr>
          <w:rFonts w:hint="eastAsia"/>
        </w:rPr>
        <w:t>提交合法有效的保险购买凭证（包括但不限于保单、保险发票、被保险人清单等）。进场人员须与保单载明之被保险人员一一对应，未投保人员或投保金额不足人员一律禁止进场作业。</w:t>
      </w:r>
    </w:p>
    <w:p w14:paraId="48146162">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（二）时效要求</w:t>
      </w:r>
    </w:p>
    <w:p w14:paraId="2BEA8C28">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保险期限须完整覆盖本次技术服务全作业周期，含进场准备、现场作业及退场收尾阶段；本次技术服务工期顺延的，须提前办理续保手续，在到期前3个工作日完成续保，并同步更新资料报备，严禁出现保单空档、脱保、过期施工情况。</w:t>
      </w:r>
    </w:p>
    <w:p w14:paraId="3B81062A">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（三）动态管理</w:t>
      </w:r>
    </w:p>
    <w:p w14:paraId="3B6B6096">
      <w:pPr>
        <w:ind w:firstLine="42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作业人员发生增减变动的，外来作业单位须在1个工作日内完成保险人员信息变更，并将更新后的保单凭证报送发包单位相关部门，严禁出现脱保、漏保情况。</w:t>
      </w:r>
    </w:p>
    <w:p w14:paraId="67592DB2">
      <w:pPr>
        <w:rPr>
          <w:rFonts w:hint="eastAsia"/>
        </w:rPr>
      </w:pPr>
      <w:r>
        <w:rPr>
          <w:rFonts w:hint="eastAsia"/>
        </w:rPr>
        <w:br w:type="page"/>
      </w:r>
    </w:p>
    <w:p w14:paraId="39682323">
      <w:pPr>
        <w:pStyle w:val="6"/>
        <w:spacing w:before="0" w:after="0" w:line="240" w:lineRule="auto"/>
        <w:rPr>
          <w:color w:val="auto"/>
          <w:sz w:val="24"/>
          <w:szCs w:val="24"/>
          <w:highlight w:val="none"/>
        </w:rPr>
      </w:pPr>
      <w:bookmarkStart w:id="17" w:name="_Toc11074"/>
      <w:r>
        <w:rPr>
          <w:rFonts w:hint="eastAsia"/>
          <w:color w:val="auto"/>
          <w:sz w:val="28"/>
          <w:szCs w:val="28"/>
          <w:highlight w:val="none"/>
        </w:rPr>
        <w:t>第四部分</w:t>
      </w:r>
      <w:r>
        <w:rPr>
          <w:rFonts w:hint="eastAsia"/>
          <w:color w:val="auto"/>
          <w:sz w:val="28"/>
          <w:szCs w:val="28"/>
          <w:highlight w:val="none"/>
          <w:lang w:val="en-US" w:eastAsia="zh-CN"/>
        </w:rPr>
        <w:t xml:space="preserve"> </w:t>
      </w:r>
      <w:r>
        <w:rPr>
          <w:rFonts w:hint="eastAsia"/>
          <w:color w:val="auto"/>
          <w:sz w:val="28"/>
          <w:szCs w:val="28"/>
          <w:highlight w:val="none"/>
        </w:rPr>
        <w:t>投标人须知</w:t>
      </w:r>
      <w:bookmarkEnd w:id="13"/>
      <w:bookmarkEnd w:id="17"/>
    </w:p>
    <w:p w14:paraId="301DF989">
      <w:pPr>
        <w:pStyle w:val="7"/>
        <w:numPr>
          <w:ilvl w:val="0"/>
          <w:numId w:val="1"/>
        </w:numPr>
        <w:spacing w:before="0" w:after="0" w:line="480" w:lineRule="auto"/>
        <w:jc w:val="center"/>
        <w:rPr>
          <w:rFonts w:ascii="宋体" w:hAnsi="宋体"/>
          <w:color w:val="auto"/>
          <w:highlight w:val="none"/>
        </w:rPr>
      </w:pPr>
      <w:bookmarkStart w:id="18" w:name="_Toc22363"/>
      <w:bookmarkStart w:id="19" w:name="_Toc25201"/>
      <w:r>
        <w:rPr>
          <w:rFonts w:hint="eastAsia" w:ascii="宋体" w:hAnsi="宋体"/>
          <w:color w:val="auto"/>
          <w:highlight w:val="none"/>
        </w:rPr>
        <w:t>说明</w:t>
      </w:r>
      <w:bookmarkEnd w:id="18"/>
      <w:bookmarkEnd w:id="19"/>
    </w:p>
    <w:p w14:paraId="049C5ECE">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20" w:name="_Toc3534"/>
      <w:bookmarkStart w:id="21" w:name="_Toc2725"/>
      <w:bookmarkStart w:id="22" w:name="_Toc18690"/>
      <w:r>
        <w:rPr>
          <w:rFonts w:hint="eastAsia" w:ascii="宋体" w:hAnsi="宋体" w:cs="宋体"/>
          <w:color w:val="auto"/>
          <w:sz w:val="21"/>
          <w:szCs w:val="21"/>
          <w:highlight w:val="none"/>
        </w:rPr>
        <w:t>适用范围</w:t>
      </w:r>
      <w:bookmarkEnd w:id="20"/>
      <w:bookmarkEnd w:id="21"/>
      <w:bookmarkEnd w:id="22"/>
    </w:p>
    <w:p w14:paraId="4B0787E6">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采购范围：见本文件《用户需求书》</w:t>
      </w:r>
    </w:p>
    <w:p w14:paraId="01EF470F">
      <w:pPr>
        <w:pageBreakBefore w:val="0"/>
        <w:kinsoku/>
        <w:wordWrap/>
        <w:topLinePunct w:val="0"/>
        <w:autoSpaceDE/>
        <w:autoSpaceDN/>
        <w:bidi w:val="0"/>
        <w:adjustRightInd w:val="0"/>
        <w:snapToGrid w:val="0"/>
        <w:rPr>
          <w:rFonts w:ascii="宋体" w:hAnsi="宋体" w:cs="宋体"/>
          <w:color w:val="auto"/>
          <w:highlight w:val="none"/>
        </w:rPr>
      </w:pPr>
    </w:p>
    <w:p w14:paraId="6BEA4AAD">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23" w:name="_Toc28435"/>
      <w:bookmarkStart w:id="24" w:name="_Toc32761"/>
      <w:bookmarkStart w:id="25" w:name="_Toc298847174"/>
      <w:bookmarkStart w:id="26" w:name="_Toc303084246"/>
      <w:bookmarkStart w:id="27" w:name="_Toc382049092"/>
      <w:bookmarkStart w:id="28" w:name="_Toc20286"/>
      <w:bookmarkStart w:id="29" w:name="_Toc1530"/>
      <w:r>
        <w:rPr>
          <w:rFonts w:hint="eastAsia" w:ascii="宋体" w:hAnsi="宋体" w:cs="宋体"/>
          <w:color w:val="auto"/>
          <w:sz w:val="21"/>
          <w:szCs w:val="21"/>
          <w:highlight w:val="none"/>
        </w:rPr>
        <w:t>定义</w:t>
      </w:r>
      <w:bookmarkEnd w:id="23"/>
      <w:bookmarkEnd w:id="24"/>
      <w:bookmarkEnd w:id="25"/>
      <w:bookmarkEnd w:id="26"/>
      <w:bookmarkEnd w:id="27"/>
      <w:bookmarkEnd w:id="28"/>
      <w:bookmarkEnd w:id="29"/>
    </w:p>
    <w:p w14:paraId="67AEA305">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采购人：见投标邀请书。</w:t>
      </w:r>
    </w:p>
    <w:p w14:paraId="050CC264">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投标人：响应采购并且符合采购文件规定资格条件和参加投标竞争的法人、其他组织或者自然人。</w:t>
      </w:r>
    </w:p>
    <w:p w14:paraId="59FD30D1">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法人：法人是依法在国内进行注册并具有民事权利能力和民事行为能力，依法独立享有民事权利和承担民事义务的组织。</w:t>
      </w:r>
    </w:p>
    <w:p w14:paraId="103F7C98">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中标人：指经评标委员会评审推荐、采购人确认的获得本项目中标资格的投标人。</w:t>
      </w:r>
    </w:p>
    <w:p w14:paraId="12A7FD20">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采购代理机构：见投标邀请书。</w:t>
      </w:r>
    </w:p>
    <w:p w14:paraId="4C41E254">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评标委员会：评标委员会是依据相关规定组建的专门负责本次采购其评标工作的临时性机构。</w:t>
      </w:r>
    </w:p>
    <w:p w14:paraId="3E62CD55">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合同：指由本次采购所产生的合同或合约文件。</w:t>
      </w:r>
    </w:p>
    <w:p w14:paraId="295A9348">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公章：公章是指经过正规的法定程序并备案的法人公章与投标专用章。（投标人如在投标文件中使用“投标专用章”，应提供法定代表人签字或加盖公章说明该“投标专用章”与法人公章具备同等效力的证明文件，且投标当天应携带相关原件到现场，以供核查。因投标文件未提供相关手续复印件和无法核查投标专用章的真实性而导致的后果由投标人自行承担。）</w:t>
      </w:r>
    </w:p>
    <w:p w14:paraId="05927CCF">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时间：本文件规定按日计算期间的，开始当天不计入，从次日开始计算。期限的最后一日是国家法定节假日的，顺延到节假日后的次日为期限的最后一日。</w:t>
      </w:r>
    </w:p>
    <w:p w14:paraId="340634FD">
      <w:pPr>
        <w:pageBreakBefore w:val="0"/>
        <w:kinsoku/>
        <w:wordWrap/>
        <w:topLinePunct w:val="0"/>
        <w:autoSpaceDE/>
        <w:autoSpaceDN/>
        <w:bidi w:val="0"/>
        <w:adjustRightInd w:val="0"/>
        <w:snapToGrid w:val="0"/>
        <w:rPr>
          <w:rFonts w:ascii="宋体" w:hAnsi="宋体" w:cs="宋体"/>
          <w:color w:val="auto"/>
          <w:highlight w:val="none"/>
        </w:rPr>
      </w:pPr>
    </w:p>
    <w:p w14:paraId="24D96961">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30" w:name="_Toc4246"/>
      <w:bookmarkStart w:id="31" w:name="_Toc10625"/>
      <w:bookmarkStart w:id="32" w:name="_Toc11624"/>
      <w:r>
        <w:rPr>
          <w:rFonts w:hint="eastAsia" w:ascii="宋体" w:hAnsi="宋体" w:cs="宋体"/>
          <w:color w:val="auto"/>
          <w:sz w:val="21"/>
          <w:szCs w:val="21"/>
          <w:highlight w:val="none"/>
        </w:rPr>
        <w:t>货物和服务</w:t>
      </w:r>
      <w:bookmarkEnd w:id="30"/>
      <w:bookmarkEnd w:id="31"/>
      <w:bookmarkEnd w:id="32"/>
    </w:p>
    <w:p w14:paraId="5B2E4D08">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货物是指各种形态和种类的物品，包括原材料、燃料、设备、产品等。</w:t>
      </w:r>
    </w:p>
    <w:p w14:paraId="697FBA19">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服务是指除货物和工程以外的其他采购对象。</w:t>
      </w:r>
    </w:p>
    <w:p w14:paraId="6B698B5E">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ascii="宋体" w:hAnsi="宋体" w:cs="宋体"/>
          <w:color w:val="000000" w:themeColor="text1"/>
          <w14:textFill>
            <w14:solidFill>
              <w14:schemeClr w14:val="tx1"/>
            </w14:solidFill>
          </w14:textFill>
        </w:rPr>
        <w:t>工程是指建设工程，包括建筑物和构筑物的新建、改建、扩建及其相关的装修、拆除、修缮等。与工程建设有关的货物，是指构成工程不可分割的组成部分，且为实现工程基本功能所必需的设备、材料等；与工程建设有关的服务，是指为完成工程所需的勘察、设计、监理等服务</w:t>
      </w:r>
      <w:r>
        <w:rPr>
          <w:rFonts w:hint="eastAsia" w:ascii="宋体" w:hAnsi="宋体" w:cs="宋体"/>
          <w:color w:val="000000" w:themeColor="text1"/>
          <w14:textFill>
            <w14:solidFill>
              <w14:schemeClr w14:val="tx1"/>
            </w14:solidFill>
          </w14:textFill>
        </w:rPr>
        <w:t>。</w:t>
      </w:r>
    </w:p>
    <w:p w14:paraId="40CE0C09">
      <w:pPr>
        <w:pageBreakBefore w:val="0"/>
        <w:kinsoku/>
        <w:wordWrap/>
        <w:topLinePunct w:val="0"/>
        <w:autoSpaceDE/>
        <w:autoSpaceDN/>
        <w:bidi w:val="0"/>
        <w:adjustRightInd w:val="0"/>
        <w:snapToGrid w:val="0"/>
        <w:rPr>
          <w:rFonts w:ascii="宋体" w:hAnsi="宋体" w:cs="宋体"/>
          <w:color w:val="auto"/>
          <w:highlight w:val="none"/>
        </w:rPr>
      </w:pPr>
    </w:p>
    <w:p w14:paraId="2D4095E1">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33" w:name="_Toc1673"/>
      <w:bookmarkStart w:id="34" w:name="_Toc29281"/>
      <w:bookmarkStart w:id="35" w:name="_Toc15719"/>
      <w:r>
        <w:rPr>
          <w:rFonts w:hint="eastAsia" w:ascii="宋体" w:hAnsi="宋体" w:cs="宋体"/>
          <w:color w:val="auto"/>
          <w:sz w:val="21"/>
          <w:szCs w:val="21"/>
          <w:highlight w:val="none"/>
        </w:rPr>
        <w:t>投标费用</w:t>
      </w:r>
      <w:bookmarkEnd w:id="33"/>
      <w:bookmarkEnd w:id="34"/>
      <w:bookmarkEnd w:id="35"/>
    </w:p>
    <w:p w14:paraId="482B7575">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投标人应承担所有与编写投标文件和参加投标有关的自身的所有费用，不论投标的结果如何，采购代理机构和采购人在任何情况下均无义务和责任承担这些费用。</w:t>
      </w:r>
    </w:p>
    <w:p w14:paraId="5F5E62B6">
      <w:pPr>
        <w:pageBreakBefore w:val="0"/>
        <w:widowControl w:val="0"/>
        <w:kinsoku/>
        <w:wordWrap/>
        <w:topLinePunct w:val="0"/>
        <w:autoSpaceDE/>
        <w:autoSpaceDN/>
        <w:bidi w:val="0"/>
        <w:adjustRightInd w:val="0"/>
        <w:snapToGrid w:val="0"/>
        <w:jc w:val="both"/>
        <w:rPr>
          <w:rFonts w:ascii="宋体" w:hAnsi="宋体" w:cs="宋体"/>
          <w:color w:val="auto"/>
          <w:szCs w:val="21"/>
          <w:highlight w:val="none"/>
        </w:rPr>
      </w:pPr>
    </w:p>
    <w:p w14:paraId="7467F650">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36" w:name="_Toc21477"/>
      <w:bookmarkStart w:id="37" w:name="_Toc6180"/>
      <w:bookmarkStart w:id="38" w:name="_Toc8654"/>
      <w:r>
        <w:rPr>
          <w:rFonts w:hint="eastAsia" w:ascii="宋体" w:hAnsi="宋体" w:cs="宋体"/>
          <w:color w:val="auto"/>
          <w:sz w:val="21"/>
          <w:szCs w:val="21"/>
          <w:highlight w:val="none"/>
        </w:rPr>
        <w:t>知识产权</w:t>
      </w:r>
      <w:bookmarkEnd w:id="36"/>
      <w:bookmarkEnd w:id="37"/>
      <w:bookmarkEnd w:id="38"/>
    </w:p>
    <w:p w14:paraId="624C164D">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人应保证在本项目使用的任何产品和服务（包括部分使用）时，不会产生因第三方提出侵犯其专利权、商标权或其它知识产权而引起的法律和经济纠纷，如因专利权、商标权或其它知识产权而引起法律和经济纠纷，由投标人承担所有相关责任。</w:t>
      </w:r>
    </w:p>
    <w:p w14:paraId="248D8CCA">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采购人享有本项目实施过程中产生的知识成果及知识产权。</w:t>
      </w:r>
    </w:p>
    <w:p w14:paraId="397391AF">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投标人如欲在项目实施过程中采用自有知识成果，需在投标文件中声明，并提供相关知识产权证明文件。使用该知识成果后，投标人需提供开发接口和开发手册等技术文档。</w:t>
      </w:r>
    </w:p>
    <w:p w14:paraId="6216FEDB">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采购货物为计算机办公设备时，投标人提供的产品必须是预装正版操作系统软件的计算机产品。</w:t>
      </w:r>
    </w:p>
    <w:p w14:paraId="1F2DF260">
      <w:pPr>
        <w:pageBreakBefore w:val="0"/>
        <w:widowControl w:val="0"/>
        <w:kinsoku/>
        <w:wordWrap/>
        <w:topLinePunct w:val="0"/>
        <w:autoSpaceDE/>
        <w:autoSpaceDN/>
        <w:bidi w:val="0"/>
        <w:adjustRightInd w:val="0"/>
        <w:snapToGrid w:val="0"/>
        <w:ind w:left="567"/>
        <w:jc w:val="both"/>
        <w:rPr>
          <w:rFonts w:ascii="宋体" w:hAnsi="宋体" w:cs="宋体"/>
          <w:color w:val="auto"/>
          <w:szCs w:val="21"/>
          <w:highlight w:val="none"/>
        </w:rPr>
      </w:pPr>
    </w:p>
    <w:p w14:paraId="300A34C3">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39" w:name="_Toc2352"/>
      <w:bookmarkStart w:id="40" w:name="_Toc25122"/>
      <w:bookmarkStart w:id="41" w:name="_Toc9737"/>
      <w:r>
        <w:rPr>
          <w:rFonts w:hint="eastAsia" w:ascii="宋体" w:hAnsi="宋体" w:cs="宋体"/>
          <w:color w:val="auto"/>
          <w:sz w:val="21"/>
          <w:szCs w:val="21"/>
          <w:highlight w:val="none"/>
        </w:rPr>
        <w:t>关于联合体投标</w:t>
      </w:r>
      <w:bookmarkEnd w:id="39"/>
      <w:bookmarkEnd w:id="40"/>
      <w:bookmarkEnd w:id="41"/>
    </w:p>
    <w:p w14:paraId="71A0ECC3">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对接受联合体投标的项目：两个以上的自然人、法人或者其他组织可以组成一个联合体，以一个</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的身份共同参加采购活动。</w:t>
      </w:r>
    </w:p>
    <w:p w14:paraId="685A0D50">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以联合体形式参与项目的</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在领购采购文件时，应提供所有联合体组成成员的营业执照复印件，并加盖各联合体组成成员的公章。</w:t>
      </w:r>
    </w:p>
    <w:p w14:paraId="2029341F">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联合体各方均应具有独立承担民事责任能力的法人或其他组织。</w:t>
      </w:r>
    </w:p>
    <w:p w14:paraId="30CDEA6A">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两个以上的自然人、法人或者其他组织组成一个联合体，以一个</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的身份共同参加采购活动的，应当对所有联合体成员进行信用记录查询，联合体成员存在不良信用记录的，视同联合体存在不良信用记录。</w:t>
      </w:r>
    </w:p>
    <w:p w14:paraId="40DA58FA">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采购文件对投标人资格条件有规定的，联合体各方均应当具备规定的相应资格条件。由同一专业的单位组成的联合体，按照资质等级较低的单位确定资质等级。</w:t>
      </w:r>
    </w:p>
    <w:p w14:paraId="4E4F5435">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联合体各方之间应当签订共同投标协议并在投标文件内提交，明确约定联合体各方承担的工作和相应的责任。联合体各方签订共同投标协议后，不得再以自己名义单独在同一项目中投标，也不得组成新的联合体参加同一项目投标。</w:t>
      </w:r>
    </w:p>
    <w:p w14:paraId="733AE310">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为联合体的，可以由联合体中的任意一方交纳保证金，其交纳的保证金对联合体各方均具有约束力。</w:t>
      </w:r>
    </w:p>
    <w:p w14:paraId="49D8F6B9">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除联合体协议明确授权盖章单位外，联合体投标时投标文件中所有要求盖章的地方均须加盖联合体所有组成成员的公章，否则该处盖章无效。</w:t>
      </w:r>
    </w:p>
    <w:p w14:paraId="7DCF93AF">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联合体进行评分时，业绩、奖项等的认定和评分根据共同投标协议约定的各方承担的工作和相应责任，确定一方打分，不累加打分；评审标准不明确或难以明确以哪一方计算评分情况时，则按主体方情况评分。</w:t>
      </w:r>
    </w:p>
    <w:p w14:paraId="5B161AB7">
      <w:pPr>
        <w:pageBreakBefore w:val="0"/>
        <w:widowControl w:val="0"/>
        <w:kinsoku/>
        <w:wordWrap/>
        <w:topLinePunct w:val="0"/>
        <w:autoSpaceDE/>
        <w:autoSpaceDN/>
        <w:bidi w:val="0"/>
        <w:adjustRightInd w:val="0"/>
        <w:snapToGrid w:val="0"/>
        <w:ind w:left="567"/>
        <w:jc w:val="both"/>
        <w:rPr>
          <w:rFonts w:ascii="宋体" w:hAnsi="宋体" w:cs="宋体"/>
          <w:color w:val="auto"/>
          <w:szCs w:val="21"/>
          <w:highlight w:val="none"/>
        </w:rPr>
      </w:pPr>
    </w:p>
    <w:p w14:paraId="52C9AE89">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42" w:name="_Toc3572"/>
      <w:bookmarkStart w:id="43" w:name="_Toc10603"/>
      <w:bookmarkStart w:id="44" w:name="_Toc28419"/>
      <w:r>
        <w:rPr>
          <w:rFonts w:hint="eastAsia" w:ascii="宋体" w:hAnsi="宋体" w:cs="宋体"/>
          <w:color w:val="auto"/>
          <w:sz w:val="21"/>
          <w:szCs w:val="21"/>
          <w:highlight w:val="none"/>
        </w:rPr>
        <w:t>关于分支机构投标</w:t>
      </w:r>
      <w:bookmarkEnd w:id="42"/>
      <w:bookmarkEnd w:id="43"/>
      <w:bookmarkEnd w:id="44"/>
    </w:p>
    <w:p w14:paraId="56AE960E">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bookmarkStart w:id="45" w:name="EB389f116341dd4693875bc7987e7327f3"/>
      <w:r>
        <w:rPr>
          <w:rFonts w:hint="eastAsia" w:ascii="宋体" w:hAnsi="宋体" w:cs="宋体"/>
          <w:color w:val="auto"/>
          <w:szCs w:val="21"/>
          <w:highlight w:val="none"/>
        </w:rPr>
        <w:t>对可接受分支机构投标的项目，分支机构投标的，需提供具有法人资格的总公司的营业执照原件扫描件及授权书，授权书须加盖总公司公章。总公司可就本项目或此类项目在一定范围或时间内出具授权书。已由总公司授权的，总公司取得的相关资质证书对分公司有效，法律法规或者行业另有规定的除外。</w:t>
      </w:r>
      <w:bookmarkEnd w:id="45"/>
    </w:p>
    <w:p w14:paraId="46D32C7E">
      <w:pPr>
        <w:pageBreakBefore w:val="0"/>
        <w:widowControl w:val="0"/>
        <w:kinsoku/>
        <w:wordWrap/>
        <w:topLinePunct w:val="0"/>
        <w:autoSpaceDE/>
        <w:autoSpaceDN/>
        <w:bidi w:val="0"/>
        <w:adjustRightInd w:val="0"/>
        <w:snapToGrid w:val="0"/>
        <w:ind w:left="567"/>
        <w:jc w:val="both"/>
        <w:rPr>
          <w:rFonts w:ascii="宋体" w:hAnsi="宋体" w:cs="宋体"/>
          <w:color w:val="auto"/>
          <w:szCs w:val="21"/>
          <w:highlight w:val="none"/>
        </w:rPr>
      </w:pPr>
    </w:p>
    <w:p w14:paraId="41679408">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46" w:name="_Toc16068"/>
      <w:bookmarkStart w:id="47" w:name="_Toc11141"/>
      <w:r>
        <w:rPr>
          <w:rFonts w:hint="eastAsia" w:ascii="宋体" w:hAnsi="宋体" w:cs="宋体"/>
          <w:color w:val="auto"/>
          <w:sz w:val="21"/>
          <w:szCs w:val="21"/>
          <w:highlight w:val="none"/>
        </w:rPr>
        <w:t>踏勘现场</w:t>
      </w:r>
      <w:bookmarkEnd w:id="46"/>
      <w:bookmarkEnd w:id="47"/>
    </w:p>
    <w:p w14:paraId="43E11443">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《投标资料表》规定组织踏勘现场的，采购人按《投标资料表》规定的时间、地点组织响应人踏勘项目现场；</w:t>
      </w:r>
    </w:p>
    <w:p w14:paraId="76463D36">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响应人踏勘现场发生的费用自理；</w:t>
      </w:r>
    </w:p>
    <w:p w14:paraId="744271B4">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除采购人的原因外，响应人自行负责在踏勘现场中所发生的人员伤亡和财产损失；</w:t>
      </w:r>
    </w:p>
    <w:p w14:paraId="575C3F81">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采购人在踏勘现场中介绍的实施地点和相关的周边环境情况，供响应人在编制响应文件时参考，采购人不对响应人据此作出的判断和决策负责；</w:t>
      </w:r>
    </w:p>
    <w:p w14:paraId="015AC664">
      <w:pPr>
        <w:pageBreakBefore w:val="0"/>
        <w:kinsoku/>
        <w:wordWrap/>
        <w:topLinePunct w:val="0"/>
        <w:autoSpaceDE/>
        <w:autoSpaceDN/>
        <w:bidi w:val="0"/>
        <w:adjustRightInd w:val="0"/>
        <w:snapToGrid w:val="0"/>
        <w:rPr>
          <w:rFonts w:ascii="宋体" w:hAnsi="宋体" w:cs="宋体"/>
          <w:color w:val="auto"/>
          <w:highlight w:val="none"/>
        </w:rPr>
      </w:pPr>
    </w:p>
    <w:p w14:paraId="3B694DD2">
      <w:pPr>
        <w:pStyle w:val="7"/>
        <w:pageBreakBefore w:val="0"/>
        <w:numPr>
          <w:ilvl w:val="0"/>
          <w:numId w:val="1"/>
        </w:numPr>
        <w:kinsoku/>
        <w:wordWrap/>
        <w:topLinePunct w:val="0"/>
        <w:autoSpaceDE/>
        <w:autoSpaceDN/>
        <w:bidi w:val="0"/>
        <w:adjustRightInd w:val="0"/>
        <w:snapToGrid w:val="0"/>
        <w:spacing w:before="0" w:after="0" w:line="360" w:lineRule="auto"/>
        <w:jc w:val="center"/>
        <w:rPr>
          <w:rFonts w:ascii="宋体" w:hAnsi="宋体" w:cs="宋体"/>
          <w:color w:val="auto"/>
          <w:highlight w:val="none"/>
        </w:rPr>
      </w:pPr>
      <w:bookmarkStart w:id="48" w:name="_Toc9829"/>
      <w:bookmarkStart w:id="49" w:name="_Toc14732"/>
      <w:bookmarkStart w:id="50" w:name="_Toc9444"/>
      <w:r>
        <w:rPr>
          <w:rFonts w:hint="eastAsia" w:ascii="宋体" w:hAnsi="宋体" w:cs="宋体"/>
          <w:color w:val="auto"/>
          <w:highlight w:val="none"/>
        </w:rPr>
        <w:t>采购文件</w:t>
      </w:r>
      <w:bookmarkEnd w:id="48"/>
      <w:bookmarkEnd w:id="49"/>
      <w:bookmarkEnd w:id="50"/>
    </w:p>
    <w:p w14:paraId="3B4C4138">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51" w:name="_Toc25451"/>
      <w:bookmarkStart w:id="52" w:name="_Toc10638"/>
      <w:bookmarkStart w:id="53" w:name="_Toc130"/>
      <w:r>
        <w:rPr>
          <w:rFonts w:hint="eastAsia" w:ascii="宋体" w:hAnsi="宋体" w:cs="宋体"/>
          <w:color w:val="auto"/>
          <w:sz w:val="21"/>
          <w:szCs w:val="21"/>
          <w:highlight w:val="none"/>
        </w:rPr>
        <w:t>采购文件的组成</w:t>
      </w:r>
      <w:bookmarkEnd w:id="51"/>
      <w:bookmarkEnd w:id="52"/>
      <w:bookmarkEnd w:id="53"/>
    </w:p>
    <w:p w14:paraId="2A757624">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采购文件包括：</w:t>
      </w:r>
    </w:p>
    <w:p w14:paraId="3261F58D">
      <w:pPr>
        <w:pageBreakBefore w:val="0"/>
        <w:widowControl w:val="0"/>
        <w:kinsoku/>
        <w:wordWrap/>
        <w:topLinePunct w:val="0"/>
        <w:autoSpaceDE/>
        <w:autoSpaceDN/>
        <w:bidi w:val="0"/>
        <w:adjustRightInd w:val="0"/>
        <w:snapToGrid w:val="0"/>
        <w:jc w:val="both"/>
        <w:rPr>
          <w:rFonts w:ascii="宋体" w:hAnsi="宋体" w:cs="宋体"/>
          <w:color w:val="auto"/>
          <w:szCs w:val="21"/>
          <w:highlight w:val="none"/>
        </w:rPr>
      </w:pPr>
      <w:r>
        <w:rPr>
          <w:rFonts w:hint="eastAsia" w:ascii="宋体" w:hAnsi="宋体" w:cs="宋体"/>
          <w:color w:val="auto"/>
          <w:szCs w:val="21"/>
          <w:highlight w:val="none"/>
        </w:rPr>
        <w:t>（1）投标邀请书；</w:t>
      </w:r>
    </w:p>
    <w:p w14:paraId="40E5BA8A">
      <w:pPr>
        <w:pageBreakBefore w:val="0"/>
        <w:widowControl w:val="0"/>
        <w:kinsoku/>
        <w:wordWrap/>
        <w:topLinePunct w:val="0"/>
        <w:autoSpaceDE/>
        <w:autoSpaceDN/>
        <w:bidi w:val="0"/>
        <w:adjustRightInd w:val="0"/>
        <w:snapToGrid w:val="0"/>
        <w:jc w:val="both"/>
        <w:rPr>
          <w:rFonts w:ascii="宋体" w:hAnsi="宋体" w:cs="宋体"/>
          <w:color w:val="auto"/>
          <w:szCs w:val="21"/>
          <w:highlight w:val="none"/>
        </w:rPr>
      </w:pPr>
      <w:r>
        <w:rPr>
          <w:rFonts w:hint="eastAsia" w:ascii="宋体" w:hAnsi="宋体" w:cs="宋体"/>
          <w:color w:val="auto"/>
          <w:szCs w:val="21"/>
          <w:highlight w:val="none"/>
        </w:rPr>
        <w:t>（2）投标资料表；</w:t>
      </w:r>
    </w:p>
    <w:p w14:paraId="3F04A911">
      <w:pPr>
        <w:pageBreakBefore w:val="0"/>
        <w:widowControl w:val="0"/>
        <w:kinsoku/>
        <w:wordWrap/>
        <w:topLinePunct w:val="0"/>
        <w:autoSpaceDE/>
        <w:autoSpaceDN/>
        <w:bidi w:val="0"/>
        <w:adjustRightInd w:val="0"/>
        <w:snapToGrid w:val="0"/>
        <w:jc w:val="both"/>
        <w:rPr>
          <w:rFonts w:ascii="宋体" w:hAnsi="宋体" w:cs="宋体"/>
          <w:color w:val="auto"/>
          <w:szCs w:val="21"/>
          <w:highlight w:val="none"/>
        </w:rPr>
      </w:pPr>
      <w:r>
        <w:rPr>
          <w:rFonts w:hint="eastAsia" w:ascii="宋体" w:hAnsi="宋体" w:cs="宋体"/>
          <w:color w:val="auto"/>
          <w:szCs w:val="21"/>
          <w:highlight w:val="none"/>
        </w:rPr>
        <w:t>（3）用户需求书；</w:t>
      </w:r>
    </w:p>
    <w:p w14:paraId="78F4ACAC">
      <w:pPr>
        <w:pageBreakBefore w:val="0"/>
        <w:widowControl w:val="0"/>
        <w:kinsoku/>
        <w:wordWrap/>
        <w:topLinePunct w:val="0"/>
        <w:autoSpaceDE/>
        <w:autoSpaceDN/>
        <w:bidi w:val="0"/>
        <w:adjustRightInd w:val="0"/>
        <w:snapToGrid w:val="0"/>
        <w:jc w:val="both"/>
        <w:rPr>
          <w:rFonts w:ascii="宋体" w:hAnsi="宋体" w:cs="宋体"/>
          <w:color w:val="auto"/>
          <w:szCs w:val="21"/>
          <w:highlight w:val="none"/>
        </w:rPr>
      </w:pPr>
      <w:r>
        <w:rPr>
          <w:rFonts w:hint="eastAsia" w:ascii="宋体" w:hAnsi="宋体" w:cs="宋体"/>
          <w:color w:val="auto"/>
          <w:szCs w:val="21"/>
          <w:highlight w:val="none"/>
        </w:rPr>
        <w:t>（4）投标人须知；</w:t>
      </w:r>
    </w:p>
    <w:p w14:paraId="35DB5469">
      <w:pPr>
        <w:pageBreakBefore w:val="0"/>
        <w:widowControl w:val="0"/>
        <w:kinsoku/>
        <w:wordWrap/>
        <w:topLinePunct w:val="0"/>
        <w:autoSpaceDE/>
        <w:autoSpaceDN/>
        <w:bidi w:val="0"/>
        <w:adjustRightInd w:val="0"/>
        <w:snapToGrid w:val="0"/>
        <w:jc w:val="both"/>
        <w:rPr>
          <w:rFonts w:ascii="宋体" w:hAnsi="宋体" w:cs="宋体"/>
          <w:color w:val="auto"/>
          <w:szCs w:val="21"/>
          <w:highlight w:val="none"/>
        </w:rPr>
      </w:pPr>
      <w:r>
        <w:rPr>
          <w:rFonts w:hint="eastAsia" w:ascii="宋体" w:hAnsi="宋体" w:cs="宋体"/>
          <w:color w:val="auto"/>
          <w:szCs w:val="21"/>
          <w:highlight w:val="none"/>
        </w:rPr>
        <w:t>（5）拟签订的合同文本；</w:t>
      </w:r>
    </w:p>
    <w:p w14:paraId="30F26092">
      <w:pPr>
        <w:pageBreakBefore w:val="0"/>
        <w:widowControl w:val="0"/>
        <w:kinsoku/>
        <w:wordWrap/>
        <w:topLinePunct w:val="0"/>
        <w:autoSpaceDE/>
        <w:autoSpaceDN/>
        <w:bidi w:val="0"/>
        <w:adjustRightInd w:val="0"/>
        <w:snapToGrid w:val="0"/>
        <w:jc w:val="both"/>
        <w:rPr>
          <w:rFonts w:ascii="宋体" w:hAnsi="宋体" w:cs="宋体"/>
          <w:color w:val="auto"/>
          <w:szCs w:val="21"/>
          <w:highlight w:val="none"/>
        </w:rPr>
      </w:pPr>
      <w:r>
        <w:rPr>
          <w:rFonts w:hint="eastAsia" w:ascii="宋体" w:hAnsi="宋体" w:cs="宋体"/>
          <w:color w:val="auto"/>
          <w:szCs w:val="21"/>
          <w:highlight w:val="none"/>
        </w:rPr>
        <w:t>（6）投标文件格式；</w:t>
      </w:r>
    </w:p>
    <w:p w14:paraId="4D7BCF8E">
      <w:pPr>
        <w:pageBreakBefore w:val="0"/>
        <w:widowControl w:val="0"/>
        <w:kinsoku/>
        <w:wordWrap/>
        <w:topLinePunct w:val="0"/>
        <w:autoSpaceDE/>
        <w:autoSpaceDN/>
        <w:bidi w:val="0"/>
        <w:adjustRightInd w:val="0"/>
        <w:snapToGrid w:val="0"/>
        <w:jc w:val="both"/>
        <w:rPr>
          <w:rFonts w:ascii="宋体" w:hAnsi="宋体" w:cs="宋体"/>
          <w:color w:val="auto"/>
          <w:szCs w:val="21"/>
          <w:highlight w:val="none"/>
        </w:rPr>
      </w:pPr>
      <w:r>
        <w:rPr>
          <w:rFonts w:hint="eastAsia" w:ascii="宋体" w:hAnsi="宋体" w:cs="宋体"/>
          <w:color w:val="auto"/>
          <w:szCs w:val="21"/>
          <w:highlight w:val="none"/>
        </w:rPr>
        <w:t>（7）在采购过程中由采购代理机构发出的澄清更正文件等。</w:t>
      </w:r>
    </w:p>
    <w:p w14:paraId="35BA3186">
      <w:pPr>
        <w:pageBreakBefore w:val="0"/>
        <w:kinsoku/>
        <w:wordWrap/>
        <w:topLinePunct w:val="0"/>
        <w:autoSpaceDE/>
        <w:autoSpaceDN/>
        <w:bidi w:val="0"/>
        <w:adjustRightInd w:val="0"/>
        <w:snapToGrid w:val="0"/>
        <w:rPr>
          <w:rFonts w:ascii="宋体" w:hAnsi="宋体" w:cs="宋体"/>
          <w:color w:val="auto"/>
          <w:highlight w:val="none"/>
        </w:rPr>
      </w:pPr>
    </w:p>
    <w:p w14:paraId="4E25D2F4">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54" w:name="_Toc21392"/>
      <w:bookmarkStart w:id="55" w:name="_Toc15907"/>
      <w:bookmarkStart w:id="56" w:name="_Toc30490"/>
      <w:r>
        <w:rPr>
          <w:rFonts w:hint="eastAsia" w:ascii="宋体" w:hAnsi="宋体" w:cs="宋体"/>
          <w:color w:val="auto"/>
          <w:sz w:val="21"/>
          <w:szCs w:val="21"/>
          <w:highlight w:val="none"/>
        </w:rPr>
        <w:t>采购文件的澄清或修改</w:t>
      </w:r>
      <w:bookmarkEnd w:id="54"/>
      <w:bookmarkEnd w:id="55"/>
      <w:bookmarkEnd w:id="56"/>
    </w:p>
    <w:p w14:paraId="66409B03">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采购人或者采购代理机构可以对已发出的采购文件、资格预审文件、投标邀请书进行必要的澄清或者修改。澄清或者修改的内容为采购文件、资格预审文件、投标邀请书的组成部分，具有约束作用。当采购文件、采购文件的澄清或修改等在同一内容的表述上不一致时，以最后发出的书面文件及公告为准。</w:t>
      </w:r>
    </w:p>
    <w:p w14:paraId="12822E75">
      <w:pPr>
        <w:pageBreakBefore w:val="0"/>
        <w:widowControl w:val="0"/>
        <w:numPr>
          <w:ilvl w:val="1"/>
          <w:numId w:val="2"/>
        </w:numPr>
        <w:kinsoku/>
        <w:wordWrap/>
        <w:overflowPunct w:val="0"/>
        <w:topLinePunct w:val="0"/>
        <w:autoSpaceDE/>
        <w:autoSpaceDN/>
        <w:bidi w:val="0"/>
        <w:adjustRightInd w:val="0"/>
        <w:snapToGrid w:val="0"/>
        <w:rPr>
          <w:rFonts w:ascii="宋体" w:hAnsi="宋体" w:cs="宋体"/>
          <w:b/>
          <w:bCs/>
          <w:color w:val="auto"/>
          <w:szCs w:val="21"/>
          <w:highlight w:val="none"/>
        </w:rPr>
      </w:pPr>
      <w:r>
        <w:rPr>
          <w:rFonts w:hint="eastAsia" w:ascii="宋体" w:hAnsi="宋体" w:cs="宋体"/>
          <w:b/>
          <w:bCs/>
          <w:color w:val="auto"/>
          <w:szCs w:val="21"/>
          <w:highlight w:val="none"/>
        </w:rPr>
        <w:t>采购期间，投标人有义务上网查看，公告一经上网发布，即视为送达。因投标人未及时上网查看而造成的所有后果，由投标人自行承担。</w:t>
      </w:r>
    </w:p>
    <w:p w14:paraId="5103CC90">
      <w:pPr>
        <w:pageBreakBefore w:val="0"/>
        <w:widowControl w:val="0"/>
        <w:kinsoku/>
        <w:wordWrap/>
        <w:topLinePunct w:val="0"/>
        <w:autoSpaceDE/>
        <w:autoSpaceDN/>
        <w:bidi w:val="0"/>
        <w:adjustRightInd w:val="0"/>
        <w:snapToGrid w:val="0"/>
        <w:ind w:left="567"/>
        <w:jc w:val="both"/>
        <w:rPr>
          <w:rFonts w:ascii="宋体" w:hAnsi="宋体" w:cs="宋体"/>
          <w:color w:val="auto"/>
          <w:szCs w:val="21"/>
          <w:highlight w:val="none"/>
        </w:rPr>
      </w:pPr>
    </w:p>
    <w:p w14:paraId="5885854A">
      <w:pPr>
        <w:pStyle w:val="7"/>
        <w:pageBreakBefore w:val="0"/>
        <w:numPr>
          <w:ilvl w:val="0"/>
          <w:numId w:val="1"/>
        </w:numPr>
        <w:kinsoku/>
        <w:wordWrap/>
        <w:topLinePunct w:val="0"/>
        <w:autoSpaceDE/>
        <w:autoSpaceDN/>
        <w:bidi w:val="0"/>
        <w:adjustRightInd w:val="0"/>
        <w:snapToGrid w:val="0"/>
        <w:spacing w:before="0" w:after="0" w:line="360" w:lineRule="auto"/>
        <w:jc w:val="center"/>
        <w:rPr>
          <w:rFonts w:ascii="宋体" w:hAnsi="宋体" w:cs="宋体"/>
          <w:color w:val="auto"/>
          <w:highlight w:val="none"/>
        </w:rPr>
      </w:pPr>
      <w:bookmarkStart w:id="57" w:name="_Toc12343"/>
      <w:bookmarkStart w:id="58" w:name="_Toc10333"/>
      <w:bookmarkStart w:id="59" w:name="_Toc23751"/>
      <w:r>
        <w:rPr>
          <w:rFonts w:hint="eastAsia" w:ascii="宋体" w:hAnsi="宋体" w:cs="宋体"/>
          <w:color w:val="auto"/>
          <w:highlight w:val="none"/>
        </w:rPr>
        <w:t>投标文件的编制</w:t>
      </w:r>
      <w:bookmarkEnd w:id="57"/>
      <w:bookmarkEnd w:id="58"/>
      <w:bookmarkEnd w:id="59"/>
    </w:p>
    <w:p w14:paraId="0B4714B8">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60" w:name="_Toc12048"/>
      <w:bookmarkStart w:id="61" w:name="_Toc2035"/>
      <w:bookmarkStart w:id="62" w:name="_Toc16938"/>
      <w:r>
        <w:rPr>
          <w:rFonts w:hint="eastAsia" w:ascii="宋体" w:hAnsi="宋体" w:cs="宋体"/>
          <w:color w:val="auto"/>
          <w:sz w:val="21"/>
          <w:szCs w:val="21"/>
          <w:highlight w:val="none"/>
        </w:rPr>
        <w:t>投标文件的语言及度量衡单位</w:t>
      </w:r>
      <w:bookmarkEnd w:id="60"/>
      <w:bookmarkEnd w:id="61"/>
      <w:bookmarkEnd w:id="62"/>
    </w:p>
    <w:p w14:paraId="44D7C913">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人提交的投标文件以及投标人与采购代理机构就有关投标的所有来往函件均应使用简体中文书写。投标人提交的支持资料和已印刷的文献可以用另一种语言，但相应内容应附有中文翻译本（中文译本应由翻译机构盖章或者翻译人员签名确认，否则按无效处理），在解释投标文件的修改内容时以中文翻译本为准。</w:t>
      </w:r>
    </w:p>
    <w:p w14:paraId="37EDFFAE">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除非采购文件在技术规格中另有规定，投标人在投标文件中及其与采购代理机构和采购人所有往来文件中的所有计量单位均应采用中华人民共和国法定计量单位。</w:t>
      </w:r>
    </w:p>
    <w:p w14:paraId="1DEBBE65">
      <w:pPr>
        <w:pageBreakBefore w:val="0"/>
        <w:widowControl w:val="0"/>
        <w:kinsoku/>
        <w:wordWrap/>
        <w:topLinePunct w:val="0"/>
        <w:autoSpaceDE/>
        <w:autoSpaceDN/>
        <w:bidi w:val="0"/>
        <w:adjustRightInd w:val="0"/>
        <w:snapToGrid w:val="0"/>
        <w:ind w:left="567"/>
        <w:jc w:val="both"/>
        <w:rPr>
          <w:rFonts w:ascii="宋体" w:hAnsi="宋体" w:cs="宋体"/>
          <w:color w:val="auto"/>
          <w:szCs w:val="21"/>
          <w:highlight w:val="none"/>
        </w:rPr>
      </w:pPr>
    </w:p>
    <w:p w14:paraId="00FF6382">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63" w:name="_Toc11466"/>
      <w:bookmarkStart w:id="64" w:name="_Toc303084256"/>
      <w:bookmarkStart w:id="65" w:name="_Toc2070"/>
      <w:bookmarkStart w:id="66" w:name="_Toc27953"/>
      <w:bookmarkStart w:id="67" w:name="_Toc28866"/>
      <w:bookmarkStart w:id="68" w:name="_Toc382049103"/>
      <w:bookmarkStart w:id="69" w:name="_Toc307934854"/>
      <w:r>
        <w:rPr>
          <w:rFonts w:hint="eastAsia" w:ascii="宋体" w:hAnsi="宋体" w:cs="宋体"/>
          <w:color w:val="auto"/>
          <w:sz w:val="21"/>
          <w:szCs w:val="21"/>
          <w:highlight w:val="none"/>
        </w:rPr>
        <w:t>投标文件的组成</w:t>
      </w:r>
      <w:bookmarkEnd w:id="63"/>
      <w:bookmarkEnd w:id="64"/>
      <w:bookmarkEnd w:id="65"/>
      <w:bookmarkEnd w:id="66"/>
      <w:bookmarkEnd w:id="67"/>
      <w:bookmarkEnd w:id="68"/>
      <w:bookmarkEnd w:id="69"/>
    </w:p>
    <w:p w14:paraId="1487BAAF">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包括但不限于采购文件附件格式中要求提供的表格。</w:t>
      </w:r>
    </w:p>
    <w:p w14:paraId="64CAA607">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上述文件须按顺序装订成册，并编制投标文件目录。除上述文件资料外投标人还须按投标人须知的要求制作“唱标信封”。“唱标信封”作为投标文件的一部分，但须单独密封。</w:t>
      </w:r>
    </w:p>
    <w:p w14:paraId="64621F16">
      <w:pPr>
        <w:pageBreakBefore w:val="0"/>
        <w:kinsoku/>
        <w:wordWrap/>
        <w:topLinePunct w:val="0"/>
        <w:autoSpaceDE/>
        <w:autoSpaceDN/>
        <w:bidi w:val="0"/>
        <w:adjustRightInd w:val="0"/>
        <w:snapToGrid w:val="0"/>
        <w:rPr>
          <w:rFonts w:ascii="宋体" w:hAnsi="宋体" w:cs="宋体"/>
          <w:color w:val="auto"/>
          <w:highlight w:val="none"/>
        </w:rPr>
      </w:pPr>
    </w:p>
    <w:p w14:paraId="2ABE5B2F">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70" w:name="_Toc5904"/>
      <w:bookmarkStart w:id="71" w:name="_Toc755"/>
      <w:bookmarkStart w:id="72" w:name="_Toc32236"/>
      <w:r>
        <w:rPr>
          <w:rFonts w:hint="eastAsia" w:ascii="宋体" w:hAnsi="宋体" w:cs="宋体"/>
          <w:color w:val="auto"/>
          <w:sz w:val="21"/>
          <w:szCs w:val="21"/>
          <w:highlight w:val="none"/>
        </w:rPr>
        <w:t>投标文件编制</w:t>
      </w:r>
      <w:bookmarkEnd w:id="70"/>
      <w:bookmarkEnd w:id="71"/>
      <w:bookmarkEnd w:id="72"/>
    </w:p>
    <w:p w14:paraId="32740C64">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bookmarkStart w:id="73" w:name="_Toc303084258"/>
      <w:r>
        <w:rPr>
          <w:rFonts w:hint="eastAsia" w:ascii="宋体" w:hAnsi="宋体" w:cs="宋体"/>
          <w:color w:val="auto"/>
          <w:szCs w:val="21"/>
          <w:highlight w:val="none"/>
        </w:rPr>
        <w:t>投标人应按采购文件的规定以及附件要求的内容和格式完整地填写（表格可以按同样格式扩展）和提供资料，投标人必须对投标文件所提供的全部材料的真实性承担法律责任，并无条件接受采购人或采购代理机构对其中任何资料进行核实的要求。</w:t>
      </w:r>
    </w:p>
    <w:p w14:paraId="381E15EC">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因投标文件编制存在歧义对投标人产生负面影响的，投标人自行承担后果。</w:t>
      </w:r>
    </w:p>
    <w:p w14:paraId="3010977D">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投标单位名称与投标人公章不一致，若投标单位名称已进行变更，应在投标文件中提供相应的证明材料并加盖公章，否则投标文件无效。</w:t>
      </w:r>
    </w:p>
    <w:p w14:paraId="12B70169">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投标文件密封、标记及内容与本项目采购信息不符，导致无法分辨所投项目为本项目的，投标文件无效。</w:t>
      </w:r>
    </w:p>
    <w:p w14:paraId="52AED0B6">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投标人须客观撰写投标人简介（格式自理，并提供相关证明）以及所投的产品或服务说明。</w:t>
      </w:r>
    </w:p>
    <w:p w14:paraId="6E2EBEBB">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投标文件若出现以下内容，经评标委员会认定有可能间接影响评审秩序，作废标处理。</w:t>
      </w:r>
    </w:p>
    <w:p w14:paraId="7B29EA62">
      <w:pPr>
        <w:pStyle w:val="45"/>
        <w:pageBreakBefore w:val="0"/>
        <w:widowControl w:val="0"/>
        <w:numPr>
          <w:ilvl w:val="0"/>
          <w:numId w:val="3"/>
        </w:numPr>
        <w:kinsoku/>
        <w:wordWrap/>
        <w:topLinePunct w:val="0"/>
        <w:autoSpaceDE/>
        <w:autoSpaceDN/>
        <w:bidi w:val="0"/>
        <w:adjustRightInd w:val="0"/>
        <w:snapToGrid w:val="0"/>
        <w:ind w:firstLineChars="0"/>
        <w:jc w:val="both"/>
        <w:rPr>
          <w:rFonts w:ascii="宋体" w:hAnsi="宋体" w:cs="宋体"/>
          <w:color w:val="auto"/>
          <w:szCs w:val="21"/>
          <w:highlight w:val="none"/>
        </w:rPr>
      </w:pPr>
      <w:r>
        <w:rPr>
          <w:rFonts w:hint="eastAsia" w:ascii="宋体" w:hAnsi="宋体" w:cs="宋体"/>
          <w:color w:val="auto"/>
          <w:szCs w:val="21"/>
          <w:highlight w:val="none"/>
        </w:rPr>
        <w:t>投标文件内出现无官方证明文件的行业地域排名或使用“国家级”、“最高级”、“最佳”等用语字眼的。</w:t>
      </w:r>
    </w:p>
    <w:p w14:paraId="1D4B07E1">
      <w:pPr>
        <w:pStyle w:val="45"/>
        <w:pageBreakBefore w:val="0"/>
        <w:widowControl w:val="0"/>
        <w:numPr>
          <w:ilvl w:val="0"/>
          <w:numId w:val="3"/>
        </w:numPr>
        <w:kinsoku/>
        <w:wordWrap/>
        <w:topLinePunct w:val="0"/>
        <w:autoSpaceDE/>
        <w:autoSpaceDN/>
        <w:bidi w:val="0"/>
        <w:adjustRightInd w:val="0"/>
        <w:snapToGrid w:val="0"/>
        <w:ind w:firstLineChars="0"/>
        <w:jc w:val="both"/>
        <w:rPr>
          <w:rFonts w:ascii="宋体" w:hAnsi="宋体" w:cs="宋体"/>
          <w:color w:val="auto"/>
          <w:szCs w:val="21"/>
          <w:highlight w:val="none"/>
        </w:rPr>
      </w:pPr>
      <w:r>
        <w:rPr>
          <w:rFonts w:hint="eastAsia" w:ascii="宋体" w:hAnsi="宋体" w:cs="宋体"/>
          <w:color w:val="auto"/>
          <w:szCs w:val="21"/>
          <w:highlight w:val="none"/>
        </w:rPr>
        <w:t>投标文件内出现恶意诋毁、贬低其他生产经营者的商品或者服务的内容。</w:t>
      </w:r>
    </w:p>
    <w:p w14:paraId="6C36CA00">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有下列情形之一的，视为投标人串通投标，其投标无效：</w:t>
      </w:r>
    </w:p>
    <w:p w14:paraId="1ABEE360">
      <w:pPr>
        <w:pageBreakBefore w:val="0"/>
        <w:widowControl w:val="0"/>
        <w:kinsoku/>
        <w:wordWrap/>
        <w:topLinePunct w:val="0"/>
        <w:autoSpaceDE/>
        <w:autoSpaceDN/>
        <w:bidi w:val="0"/>
        <w:adjustRightInd w:val="0"/>
        <w:snapToGrid w:val="0"/>
        <w:ind w:firstLine="420" w:firstLineChars="200"/>
        <w:jc w:val="both"/>
        <w:rPr>
          <w:rFonts w:ascii="宋体" w:hAnsi="宋体" w:cs="宋体"/>
          <w:color w:val="auto"/>
          <w:szCs w:val="21"/>
          <w:highlight w:val="none"/>
        </w:rPr>
      </w:pPr>
      <w:r>
        <w:rPr>
          <w:rFonts w:hint="eastAsia" w:ascii="宋体" w:hAnsi="宋体" w:cs="宋体"/>
          <w:color w:val="auto"/>
          <w:szCs w:val="21"/>
          <w:highlight w:val="none"/>
        </w:rPr>
        <w:t>（1）不同投标人的投标文件由同一单位或者个人编制；</w:t>
      </w:r>
    </w:p>
    <w:p w14:paraId="38BC8965">
      <w:pPr>
        <w:pageBreakBefore w:val="0"/>
        <w:widowControl w:val="0"/>
        <w:kinsoku/>
        <w:wordWrap/>
        <w:topLinePunct w:val="0"/>
        <w:autoSpaceDE/>
        <w:autoSpaceDN/>
        <w:bidi w:val="0"/>
        <w:adjustRightInd w:val="0"/>
        <w:snapToGrid w:val="0"/>
        <w:ind w:firstLine="420" w:firstLineChars="200"/>
        <w:jc w:val="both"/>
        <w:rPr>
          <w:rFonts w:ascii="宋体" w:hAnsi="宋体" w:cs="宋体"/>
          <w:color w:val="auto"/>
          <w:szCs w:val="21"/>
          <w:highlight w:val="none"/>
        </w:rPr>
      </w:pPr>
      <w:r>
        <w:rPr>
          <w:rFonts w:hint="eastAsia" w:ascii="宋体" w:hAnsi="宋体" w:cs="宋体"/>
          <w:color w:val="auto"/>
          <w:szCs w:val="21"/>
          <w:highlight w:val="none"/>
        </w:rPr>
        <w:t>（2）不同投标人委托同一单位或者个人办理投标事宜；</w:t>
      </w:r>
    </w:p>
    <w:p w14:paraId="73DB4BC3">
      <w:pPr>
        <w:pageBreakBefore w:val="0"/>
        <w:widowControl w:val="0"/>
        <w:kinsoku/>
        <w:wordWrap/>
        <w:topLinePunct w:val="0"/>
        <w:autoSpaceDE/>
        <w:autoSpaceDN/>
        <w:bidi w:val="0"/>
        <w:adjustRightInd w:val="0"/>
        <w:snapToGrid w:val="0"/>
        <w:ind w:firstLine="420" w:firstLineChars="200"/>
        <w:jc w:val="both"/>
        <w:rPr>
          <w:rFonts w:ascii="宋体" w:hAnsi="宋体" w:cs="宋体"/>
          <w:color w:val="auto"/>
          <w:szCs w:val="21"/>
          <w:highlight w:val="none"/>
        </w:rPr>
      </w:pPr>
      <w:r>
        <w:rPr>
          <w:rFonts w:hint="eastAsia" w:ascii="宋体" w:hAnsi="宋体" w:cs="宋体"/>
          <w:color w:val="auto"/>
          <w:szCs w:val="21"/>
          <w:highlight w:val="none"/>
        </w:rPr>
        <w:t>（3）不同投标人的投标文件载明的项目管理成员或者联系人员为同一人；</w:t>
      </w:r>
    </w:p>
    <w:p w14:paraId="27BCCD9D">
      <w:pPr>
        <w:pageBreakBefore w:val="0"/>
        <w:widowControl w:val="0"/>
        <w:kinsoku/>
        <w:wordWrap/>
        <w:topLinePunct w:val="0"/>
        <w:autoSpaceDE/>
        <w:autoSpaceDN/>
        <w:bidi w:val="0"/>
        <w:adjustRightInd w:val="0"/>
        <w:snapToGrid w:val="0"/>
        <w:ind w:firstLine="420" w:firstLineChars="200"/>
        <w:jc w:val="both"/>
        <w:rPr>
          <w:rFonts w:ascii="宋体" w:hAnsi="宋体" w:cs="宋体"/>
          <w:color w:val="auto"/>
          <w:szCs w:val="21"/>
          <w:highlight w:val="none"/>
        </w:rPr>
      </w:pPr>
      <w:r>
        <w:rPr>
          <w:rFonts w:hint="eastAsia" w:ascii="宋体" w:hAnsi="宋体" w:cs="宋体"/>
          <w:color w:val="auto"/>
          <w:szCs w:val="21"/>
          <w:highlight w:val="none"/>
        </w:rPr>
        <w:t>（4）不同投标人的投标文件异常一致或者投标报价呈规律性差异；</w:t>
      </w:r>
    </w:p>
    <w:p w14:paraId="0B3CC058">
      <w:pPr>
        <w:pageBreakBefore w:val="0"/>
        <w:widowControl w:val="0"/>
        <w:kinsoku/>
        <w:wordWrap/>
        <w:topLinePunct w:val="0"/>
        <w:autoSpaceDE/>
        <w:autoSpaceDN/>
        <w:bidi w:val="0"/>
        <w:adjustRightInd w:val="0"/>
        <w:snapToGrid w:val="0"/>
        <w:ind w:firstLine="420" w:firstLineChars="200"/>
        <w:jc w:val="both"/>
        <w:rPr>
          <w:rFonts w:ascii="宋体" w:hAnsi="宋体" w:cs="宋体"/>
          <w:color w:val="auto"/>
          <w:szCs w:val="21"/>
          <w:highlight w:val="none"/>
        </w:rPr>
      </w:pPr>
      <w:r>
        <w:rPr>
          <w:rFonts w:hint="eastAsia" w:ascii="宋体" w:hAnsi="宋体" w:cs="宋体"/>
          <w:color w:val="auto"/>
          <w:szCs w:val="21"/>
          <w:highlight w:val="none"/>
        </w:rPr>
        <w:t>（5）不同投标人的投标文件相互混装；</w:t>
      </w:r>
    </w:p>
    <w:p w14:paraId="75441234">
      <w:pPr>
        <w:pageBreakBefore w:val="0"/>
        <w:widowControl w:val="0"/>
        <w:kinsoku/>
        <w:wordWrap/>
        <w:topLinePunct w:val="0"/>
        <w:autoSpaceDE/>
        <w:autoSpaceDN/>
        <w:bidi w:val="0"/>
        <w:adjustRightInd w:val="0"/>
        <w:snapToGrid w:val="0"/>
        <w:ind w:firstLine="420" w:firstLineChars="200"/>
        <w:jc w:val="both"/>
        <w:rPr>
          <w:rFonts w:ascii="宋体" w:hAnsi="宋体" w:cs="宋体"/>
          <w:color w:val="auto"/>
          <w:szCs w:val="21"/>
          <w:highlight w:val="none"/>
        </w:rPr>
      </w:pPr>
      <w:r>
        <w:rPr>
          <w:rFonts w:hint="eastAsia" w:ascii="宋体" w:hAnsi="宋体" w:cs="宋体"/>
          <w:color w:val="auto"/>
          <w:szCs w:val="21"/>
          <w:highlight w:val="none"/>
        </w:rPr>
        <w:t>（6）不同投标人的投标保证金从同一单位或者个人的账户转出。</w:t>
      </w:r>
    </w:p>
    <w:bookmarkEnd w:id="73"/>
    <w:p w14:paraId="52E4A6E1">
      <w:pPr>
        <w:pageBreakBefore w:val="0"/>
        <w:kinsoku/>
        <w:wordWrap/>
        <w:topLinePunct w:val="0"/>
        <w:autoSpaceDE/>
        <w:autoSpaceDN/>
        <w:bidi w:val="0"/>
        <w:adjustRightInd w:val="0"/>
        <w:snapToGrid w:val="0"/>
        <w:rPr>
          <w:rFonts w:ascii="宋体" w:hAnsi="宋体" w:cs="宋体"/>
          <w:color w:val="auto"/>
          <w:highlight w:val="none"/>
        </w:rPr>
      </w:pPr>
    </w:p>
    <w:p w14:paraId="7F79BBFE">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74" w:name="_Toc2071"/>
      <w:bookmarkStart w:id="75" w:name="_Toc6154"/>
      <w:bookmarkStart w:id="76" w:name="_Toc7134"/>
      <w:r>
        <w:rPr>
          <w:rFonts w:hint="eastAsia" w:ascii="宋体" w:hAnsi="宋体" w:cs="宋体"/>
          <w:color w:val="auto"/>
          <w:sz w:val="21"/>
          <w:szCs w:val="21"/>
          <w:highlight w:val="none"/>
        </w:rPr>
        <w:t>投标报价说明</w:t>
      </w:r>
      <w:bookmarkEnd w:id="74"/>
      <w:bookmarkEnd w:id="75"/>
      <w:bookmarkEnd w:id="76"/>
    </w:p>
    <w:p w14:paraId="7DFD079F">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本次采购，投标人应按用户需求中的要求进行投标报价，少报无效。</w:t>
      </w:r>
    </w:p>
    <w:p w14:paraId="68F05FA9">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投标人所提供的货物或服务均以人民币（或相关费率）报价。</w:t>
      </w:r>
    </w:p>
    <w:p w14:paraId="35A3F893">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投标报价应包含完成本次采购所有服务内容的费用，包含各种税务费及合同实施过程中的全部费用和售后服务费等。</w:t>
      </w:r>
    </w:p>
    <w:p w14:paraId="03F0DF7D">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BE50809">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中标后开出的所有发票必须与中标人的名称一致。</w:t>
      </w:r>
    </w:p>
    <w:p w14:paraId="00B3D596">
      <w:pPr>
        <w:pageBreakBefore w:val="0"/>
        <w:kinsoku/>
        <w:wordWrap/>
        <w:topLinePunct w:val="0"/>
        <w:autoSpaceDE/>
        <w:autoSpaceDN/>
        <w:bidi w:val="0"/>
        <w:adjustRightInd w:val="0"/>
        <w:snapToGrid w:val="0"/>
        <w:rPr>
          <w:rFonts w:ascii="宋体" w:hAnsi="宋体" w:cs="宋体"/>
          <w:color w:val="auto"/>
          <w:highlight w:val="none"/>
        </w:rPr>
      </w:pPr>
    </w:p>
    <w:p w14:paraId="3658000F">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77" w:name="_Toc31551"/>
      <w:bookmarkStart w:id="78" w:name="_Toc17669"/>
      <w:bookmarkStart w:id="79" w:name="_Toc14501"/>
      <w:r>
        <w:rPr>
          <w:rFonts w:hint="eastAsia" w:ascii="宋体" w:hAnsi="宋体" w:cs="宋体"/>
          <w:color w:val="auto"/>
          <w:sz w:val="21"/>
          <w:szCs w:val="21"/>
          <w:highlight w:val="none"/>
        </w:rPr>
        <w:t>投标人所提供的服务或货物的证明文件</w:t>
      </w:r>
      <w:bookmarkEnd w:id="77"/>
      <w:bookmarkEnd w:id="78"/>
      <w:bookmarkEnd w:id="79"/>
    </w:p>
    <w:p w14:paraId="1A9542C2">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bookmarkStart w:id="80" w:name="_Hlt107925638"/>
      <w:bookmarkEnd w:id="80"/>
      <w:bookmarkStart w:id="81" w:name="_Hlt107925668"/>
      <w:bookmarkEnd w:id="81"/>
      <w:r>
        <w:rPr>
          <w:rFonts w:hint="eastAsia" w:ascii="宋体" w:hAnsi="宋体" w:cs="宋体"/>
          <w:color w:val="auto"/>
          <w:szCs w:val="21"/>
          <w:highlight w:val="none"/>
        </w:rPr>
        <w:t>证明服务或货物的文件，它可以是文字资料、图纸和数据包括但不限于：服务主要内容、标准、质量、人员资质、计划安排、报告审核等的详细说明；对采购文件第三部分《用户需求书》中规定的要求进行详细应答和说明。</w:t>
      </w:r>
    </w:p>
    <w:p w14:paraId="6A8F0093">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有下列情形之一的，视为投标人弄虚作假，其投标无效：</w:t>
      </w:r>
    </w:p>
    <w:p w14:paraId="1883B8CD">
      <w:pPr>
        <w:pStyle w:val="45"/>
        <w:pageBreakBefore w:val="0"/>
        <w:widowControl w:val="0"/>
        <w:kinsoku/>
        <w:wordWrap/>
        <w:topLinePunct w:val="0"/>
        <w:autoSpaceDE/>
        <w:autoSpaceDN/>
        <w:bidi w:val="0"/>
        <w:adjustRightInd w:val="0"/>
        <w:snapToGrid w:val="0"/>
        <w:ind w:left="425" w:firstLine="0" w:firstLineChars="0"/>
        <w:jc w:val="both"/>
        <w:rPr>
          <w:rFonts w:ascii="宋体" w:hAnsi="宋体" w:cs="宋体"/>
          <w:color w:val="auto"/>
          <w:highlight w:val="none"/>
        </w:rPr>
      </w:pPr>
      <w:r>
        <w:rPr>
          <w:rFonts w:hint="eastAsia" w:ascii="宋体" w:hAnsi="宋体" w:cs="宋体"/>
          <w:color w:val="auto"/>
          <w:highlight w:val="none"/>
        </w:rPr>
        <w:t>1、使用通过受让或者租借等方式获取的资格、资质证书投标的，属于以他人名义投标。</w:t>
      </w:r>
    </w:p>
    <w:p w14:paraId="65D641BC">
      <w:pPr>
        <w:pStyle w:val="45"/>
        <w:pageBreakBefore w:val="0"/>
        <w:widowControl w:val="0"/>
        <w:kinsoku/>
        <w:wordWrap/>
        <w:topLinePunct w:val="0"/>
        <w:autoSpaceDE/>
        <w:autoSpaceDN/>
        <w:bidi w:val="0"/>
        <w:adjustRightInd w:val="0"/>
        <w:snapToGrid w:val="0"/>
        <w:ind w:left="425" w:firstLine="0" w:firstLineChars="0"/>
        <w:jc w:val="both"/>
        <w:rPr>
          <w:rFonts w:ascii="宋体" w:hAnsi="宋体" w:cs="宋体"/>
          <w:color w:val="auto"/>
          <w:highlight w:val="none"/>
        </w:rPr>
      </w:pPr>
      <w:r>
        <w:rPr>
          <w:rFonts w:hint="eastAsia" w:ascii="宋体" w:hAnsi="宋体" w:cs="宋体"/>
          <w:color w:val="auto"/>
          <w:highlight w:val="none"/>
        </w:rPr>
        <w:t>2、投标人有下列情形之一的，属于以其他方式弄虚作假的行为：</w:t>
      </w:r>
    </w:p>
    <w:p w14:paraId="5BA1A205">
      <w:pPr>
        <w:pStyle w:val="45"/>
        <w:pageBreakBefore w:val="0"/>
        <w:widowControl w:val="0"/>
        <w:kinsoku/>
        <w:wordWrap/>
        <w:topLinePunct w:val="0"/>
        <w:autoSpaceDE/>
        <w:autoSpaceDN/>
        <w:bidi w:val="0"/>
        <w:adjustRightInd w:val="0"/>
        <w:snapToGrid w:val="0"/>
        <w:ind w:left="425" w:firstLine="0" w:firstLineChars="0"/>
        <w:jc w:val="both"/>
        <w:rPr>
          <w:rFonts w:ascii="宋体" w:hAnsi="宋体" w:cs="宋体"/>
          <w:color w:val="auto"/>
          <w:highlight w:val="none"/>
        </w:rPr>
      </w:pPr>
      <w:r>
        <w:rPr>
          <w:rFonts w:hint="eastAsia" w:ascii="宋体" w:hAnsi="宋体" w:cs="宋体"/>
          <w:color w:val="auto"/>
          <w:highlight w:val="none"/>
        </w:rPr>
        <w:t>（1）使用伪造、变造的许可证件；</w:t>
      </w:r>
    </w:p>
    <w:p w14:paraId="0856554F">
      <w:pPr>
        <w:pStyle w:val="45"/>
        <w:pageBreakBefore w:val="0"/>
        <w:widowControl w:val="0"/>
        <w:kinsoku/>
        <w:wordWrap/>
        <w:topLinePunct w:val="0"/>
        <w:autoSpaceDE/>
        <w:autoSpaceDN/>
        <w:bidi w:val="0"/>
        <w:adjustRightInd w:val="0"/>
        <w:snapToGrid w:val="0"/>
        <w:ind w:left="425" w:firstLine="0" w:firstLineChars="0"/>
        <w:jc w:val="both"/>
        <w:rPr>
          <w:rFonts w:ascii="宋体" w:hAnsi="宋体" w:cs="宋体"/>
          <w:color w:val="auto"/>
          <w:highlight w:val="none"/>
        </w:rPr>
      </w:pPr>
      <w:r>
        <w:rPr>
          <w:rFonts w:hint="eastAsia" w:ascii="宋体" w:hAnsi="宋体" w:cs="宋体"/>
          <w:color w:val="auto"/>
          <w:highlight w:val="none"/>
        </w:rPr>
        <w:t>（2）提供虚假的财务状况或者业绩；</w:t>
      </w:r>
    </w:p>
    <w:p w14:paraId="56AE33FF">
      <w:pPr>
        <w:pStyle w:val="45"/>
        <w:pageBreakBefore w:val="0"/>
        <w:widowControl w:val="0"/>
        <w:kinsoku/>
        <w:wordWrap/>
        <w:topLinePunct w:val="0"/>
        <w:autoSpaceDE/>
        <w:autoSpaceDN/>
        <w:bidi w:val="0"/>
        <w:adjustRightInd w:val="0"/>
        <w:snapToGrid w:val="0"/>
        <w:ind w:left="425" w:firstLine="0" w:firstLineChars="0"/>
        <w:jc w:val="both"/>
        <w:rPr>
          <w:rFonts w:ascii="宋体" w:hAnsi="宋体" w:cs="宋体"/>
          <w:color w:val="auto"/>
          <w:highlight w:val="none"/>
        </w:rPr>
      </w:pPr>
      <w:r>
        <w:rPr>
          <w:rFonts w:hint="eastAsia" w:ascii="宋体" w:hAnsi="宋体" w:cs="宋体"/>
          <w:color w:val="auto"/>
          <w:highlight w:val="none"/>
        </w:rPr>
        <w:t>（3）提供虚假的项目负责人或者主要技术人员简历、劳动关系证明；</w:t>
      </w:r>
    </w:p>
    <w:p w14:paraId="2EC2FA53">
      <w:pPr>
        <w:pStyle w:val="45"/>
        <w:pageBreakBefore w:val="0"/>
        <w:widowControl w:val="0"/>
        <w:kinsoku/>
        <w:wordWrap/>
        <w:topLinePunct w:val="0"/>
        <w:autoSpaceDE/>
        <w:autoSpaceDN/>
        <w:bidi w:val="0"/>
        <w:adjustRightInd w:val="0"/>
        <w:snapToGrid w:val="0"/>
        <w:ind w:left="425" w:firstLine="0" w:firstLineChars="0"/>
        <w:jc w:val="both"/>
        <w:rPr>
          <w:rFonts w:ascii="宋体" w:hAnsi="宋体" w:cs="宋体"/>
          <w:color w:val="auto"/>
          <w:highlight w:val="none"/>
        </w:rPr>
      </w:pPr>
      <w:r>
        <w:rPr>
          <w:rFonts w:hint="eastAsia" w:ascii="宋体" w:hAnsi="宋体" w:cs="宋体"/>
          <w:color w:val="auto"/>
          <w:highlight w:val="none"/>
        </w:rPr>
        <w:t>（4）提供虚假的信用状况；</w:t>
      </w:r>
    </w:p>
    <w:p w14:paraId="1231F555">
      <w:pPr>
        <w:pStyle w:val="45"/>
        <w:pageBreakBefore w:val="0"/>
        <w:widowControl w:val="0"/>
        <w:kinsoku/>
        <w:wordWrap/>
        <w:topLinePunct w:val="0"/>
        <w:autoSpaceDE/>
        <w:autoSpaceDN/>
        <w:bidi w:val="0"/>
        <w:adjustRightInd w:val="0"/>
        <w:snapToGrid w:val="0"/>
        <w:ind w:left="425" w:firstLine="0" w:firstLineChars="0"/>
        <w:jc w:val="both"/>
        <w:rPr>
          <w:rFonts w:hint="eastAsia" w:ascii="宋体" w:hAnsi="宋体" w:cs="宋体"/>
          <w:color w:val="auto"/>
          <w:highlight w:val="none"/>
        </w:rPr>
      </w:pPr>
      <w:r>
        <w:rPr>
          <w:rFonts w:hint="eastAsia" w:ascii="宋体" w:hAnsi="宋体" w:cs="宋体"/>
          <w:color w:val="auto"/>
          <w:highlight w:val="none"/>
        </w:rPr>
        <w:t>（5）其他弄虚作假的行为。</w:t>
      </w:r>
    </w:p>
    <w:p w14:paraId="042C272D">
      <w:pPr>
        <w:pageBreakBefore w:val="0"/>
        <w:kinsoku/>
        <w:wordWrap/>
        <w:topLinePunct w:val="0"/>
        <w:autoSpaceDE/>
        <w:autoSpaceDN/>
        <w:bidi w:val="0"/>
        <w:adjustRightInd w:val="0"/>
        <w:snapToGrid w:val="0"/>
        <w:rPr>
          <w:rFonts w:ascii="宋体" w:hAnsi="宋体" w:cs="宋体"/>
          <w:color w:val="auto"/>
          <w:highlight w:val="none"/>
        </w:rPr>
      </w:pPr>
    </w:p>
    <w:p w14:paraId="5B6A31F3">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82" w:name="_Toc2409"/>
      <w:bookmarkStart w:id="83" w:name="_Toc8324"/>
      <w:bookmarkStart w:id="84" w:name="_Toc11967"/>
      <w:r>
        <w:rPr>
          <w:rFonts w:hint="eastAsia" w:ascii="宋体" w:hAnsi="宋体" w:cs="宋体"/>
          <w:color w:val="auto"/>
          <w:sz w:val="21"/>
          <w:szCs w:val="21"/>
          <w:highlight w:val="none"/>
        </w:rPr>
        <w:t>投标有效期</w:t>
      </w:r>
      <w:bookmarkEnd w:id="82"/>
      <w:bookmarkEnd w:id="83"/>
      <w:bookmarkEnd w:id="84"/>
    </w:p>
    <w:p w14:paraId="1E8B14CC">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投标文件应根据投标人须知的规定在投标截止日后的90天内保持有效。</w:t>
      </w:r>
    </w:p>
    <w:p w14:paraId="7920BA42">
      <w:pPr>
        <w:pageBreakBefore w:val="0"/>
        <w:kinsoku/>
        <w:wordWrap/>
        <w:topLinePunct w:val="0"/>
        <w:autoSpaceDE/>
        <w:autoSpaceDN/>
        <w:bidi w:val="0"/>
        <w:adjustRightInd w:val="0"/>
        <w:snapToGrid w:val="0"/>
        <w:rPr>
          <w:rFonts w:ascii="宋体" w:hAnsi="宋体" w:cs="宋体"/>
          <w:color w:val="auto"/>
          <w:highlight w:val="none"/>
        </w:rPr>
      </w:pPr>
    </w:p>
    <w:p w14:paraId="448A9E9F">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85" w:name="_Toc26564"/>
      <w:bookmarkStart w:id="86" w:name="_Toc26502"/>
      <w:bookmarkStart w:id="87" w:name="_Toc12582"/>
      <w:r>
        <w:rPr>
          <w:rFonts w:hint="eastAsia" w:ascii="宋体" w:hAnsi="宋体" w:cs="宋体"/>
          <w:color w:val="auto"/>
          <w:sz w:val="21"/>
          <w:szCs w:val="21"/>
          <w:highlight w:val="none"/>
        </w:rPr>
        <w:t>投标保证金</w:t>
      </w:r>
      <w:bookmarkEnd w:id="85"/>
      <w:bookmarkEnd w:id="86"/>
      <w:bookmarkEnd w:id="87"/>
    </w:p>
    <w:p w14:paraId="05C86EE2">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bookmarkStart w:id="88" w:name="_Ref179619405"/>
      <w:r>
        <w:rPr>
          <w:rFonts w:hint="eastAsia" w:ascii="宋体" w:hAnsi="宋体" w:cs="宋体"/>
          <w:color w:val="auto"/>
          <w:szCs w:val="21"/>
          <w:highlight w:val="none"/>
        </w:rPr>
        <w:t>投标人应在投标文件递交截止前提交相应的投标保证金，并作为其投标的一部分。</w:t>
      </w:r>
      <w:bookmarkEnd w:id="88"/>
    </w:p>
    <w:p w14:paraId="77CA7E5B">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投标保证金是为了保护采购代理机构和采购人免遭因投标人的行为而蒙受的损失。采购代理机构和采购人在因投标人的行为受到损害时可根据本须知（17.7）的规定没收投标人的投标保证金。</w:t>
      </w:r>
    </w:p>
    <w:p w14:paraId="3A6DABF5">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保证金采用转账、电汇方式方式提交，应符合以下要求：采用银行转账、电汇方式提交的，保证金汇入《投标资料表》中投标保证金专用账户，不接收由以投标人分支机构、私人账户和其他单位转入的保证金。投标保证金必须在投标文件递交截止前到账，投标保证金未按规定时间到达指定账户或提交金额不足的，将被视为无效投标。且在备注或用途中注明本项目的项目编号。</w:t>
      </w:r>
    </w:p>
    <w:p w14:paraId="558D97E8">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凡没有根据本须知（17.1和17.3）的规定随附有效的投标保证金的投标，将被视为非响应性投标予以拒绝。</w:t>
      </w:r>
    </w:p>
    <w:p w14:paraId="1EF767D6">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投标保证金有效期应当与投标有效期一致。采购人如果按照采购文件另外规定延长了投标文件有效期，则投标担保的有效期也相应延长。</w:t>
      </w:r>
    </w:p>
    <w:p w14:paraId="3F7631F2">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中标人在签订采购合同并按采购文件第（33）条规定提交履约担保金后，携带退保证金声明函、投标保证金汇款单复印件（加盖公章）和合同正本到采购人处办理投标保证金（无息）退回手续。</w:t>
      </w:r>
    </w:p>
    <w:p w14:paraId="0E0C6C00">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下列任何情况发生时，投标保证金将不予退还：</w:t>
      </w:r>
    </w:p>
    <w:p w14:paraId="19E8177F">
      <w:pPr>
        <w:pageBreakBefore w:val="0"/>
        <w:widowControl w:val="0"/>
        <w:kinsoku/>
        <w:wordWrap/>
        <w:topLinePunct w:val="0"/>
        <w:autoSpaceDE/>
        <w:autoSpaceDN/>
        <w:bidi w:val="0"/>
        <w:adjustRightInd w:val="0"/>
        <w:snapToGrid w:val="0"/>
        <w:ind w:left="540" w:leftChars="257"/>
        <w:jc w:val="both"/>
        <w:rPr>
          <w:rFonts w:ascii="宋体" w:hAnsi="宋体" w:cs="宋体"/>
          <w:color w:val="auto"/>
          <w:szCs w:val="21"/>
          <w:highlight w:val="none"/>
        </w:rPr>
      </w:pPr>
      <w:r>
        <w:rPr>
          <w:rFonts w:hint="eastAsia" w:ascii="宋体" w:hAnsi="宋体" w:cs="宋体"/>
          <w:color w:val="auto"/>
          <w:szCs w:val="21"/>
          <w:highlight w:val="none"/>
        </w:rPr>
        <w:t>（1）投标人在采购文件中规定的投标有效期内撤回其投标；</w:t>
      </w:r>
    </w:p>
    <w:p w14:paraId="3B4ADE78">
      <w:pPr>
        <w:pageBreakBefore w:val="0"/>
        <w:widowControl w:val="0"/>
        <w:kinsoku/>
        <w:wordWrap/>
        <w:topLinePunct w:val="0"/>
        <w:autoSpaceDE/>
        <w:autoSpaceDN/>
        <w:bidi w:val="0"/>
        <w:adjustRightInd w:val="0"/>
        <w:snapToGrid w:val="0"/>
        <w:ind w:left="540" w:leftChars="257"/>
        <w:jc w:val="both"/>
        <w:rPr>
          <w:rFonts w:ascii="宋体" w:hAnsi="宋体" w:cs="宋体"/>
          <w:color w:val="auto"/>
          <w:szCs w:val="21"/>
          <w:highlight w:val="none"/>
        </w:rPr>
      </w:pPr>
      <w:r>
        <w:rPr>
          <w:rFonts w:hint="eastAsia" w:ascii="宋体" w:hAnsi="宋体" w:cs="宋体"/>
          <w:color w:val="auto"/>
          <w:szCs w:val="21"/>
          <w:highlight w:val="none"/>
        </w:rPr>
        <w:t>（2）中标人无正当理由不与采购人订立合同，在签订合同时向采购人提出附加条件，或者不按照采购文件要求提交履约保证金的；</w:t>
      </w:r>
    </w:p>
    <w:p w14:paraId="7FD62F11">
      <w:pPr>
        <w:pageBreakBefore w:val="0"/>
        <w:widowControl w:val="0"/>
        <w:kinsoku/>
        <w:wordWrap/>
        <w:topLinePunct w:val="0"/>
        <w:autoSpaceDE/>
        <w:autoSpaceDN/>
        <w:bidi w:val="0"/>
        <w:adjustRightInd w:val="0"/>
        <w:snapToGrid w:val="0"/>
        <w:ind w:left="540" w:leftChars="257"/>
        <w:jc w:val="both"/>
        <w:rPr>
          <w:rFonts w:ascii="宋体" w:hAnsi="宋体" w:cs="宋体"/>
          <w:color w:val="auto"/>
          <w:szCs w:val="21"/>
          <w:highlight w:val="none"/>
        </w:rPr>
      </w:pPr>
      <w:r>
        <w:rPr>
          <w:rFonts w:hint="eastAsia" w:ascii="宋体" w:hAnsi="宋体" w:cs="宋体"/>
          <w:color w:val="auto"/>
          <w:szCs w:val="21"/>
          <w:highlight w:val="none"/>
        </w:rPr>
        <w:t>（3）中标人将本项目转让给他人，或者在投标文件中未说明，且未经采购人同意，将中标项目分包给他人的；</w:t>
      </w:r>
    </w:p>
    <w:p w14:paraId="06765870">
      <w:pPr>
        <w:pageBreakBefore w:val="0"/>
        <w:widowControl w:val="0"/>
        <w:kinsoku/>
        <w:wordWrap/>
        <w:topLinePunct w:val="0"/>
        <w:autoSpaceDE/>
        <w:autoSpaceDN/>
        <w:bidi w:val="0"/>
        <w:adjustRightInd w:val="0"/>
        <w:snapToGrid w:val="0"/>
        <w:ind w:left="540" w:leftChars="257"/>
        <w:jc w:val="both"/>
        <w:rPr>
          <w:rFonts w:ascii="宋体" w:hAnsi="宋体" w:cs="宋体"/>
          <w:color w:val="auto"/>
          <w:szCs w:val="21"/>
          <w:highlight w:val="none"/>
        </w:rPr>
      </w:pPr>
      <w:r>
        <w:rPr>
          <w:rFonts w:hint="eastAsia" w:ascii="宋体" w:hAnsi="宋体" w:cs="宋体"/>
          <w:color w:val="auto"/>
          <w:szCs w:val="21"/>
          <w:highlight w:val="none"/>
        </w:rPr>
        <w:t>（4）投标人提供虚假投标文件或虚假补充文件的。</w:t>
      </w:r>
    </w:p>
    <w:p w14:paraId="2324574B">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在中标通知书发出后，未中标投标人的投标保证金，由采购人自行返还至投标人的原转出账户。</w:t>
      </w:r>
    </w:p>
    <w:p w14:paraId="74BAD5F2">
      <w:pPr>
        <w:pageBreakBefore w:val="0"/>
        <w:kinsoku/>
        <w:wordWrap/>
        <w:topLinePunct w:val="0"/>
        <w:autoSpaceDE/>
        <w:autoSpaceDN/>
        <w:bidi w:val="0"/>
        <w:adjustRightInd w:val="0"/>
        <w:snapToGrid w:val="0"/>
        <w:rPr>
          <w:rFonts w:ascii="宋体" w:hAnsi="宋体" w:cs="宋体"/>
          <w:color w:val="auto"/>
          <w:highlight w:val="none"/>
        </w:rPr>
      </w:pPr>
    </w:p>
    <w:p w14:paraId="08AD8844">
      <w:pPr>
        <w:pStyle w:val="7"/>
        <w:pageBreakBefore w:val="0"/>
        <w:numPr>
          <w:ilvl w:val="0"/>
          <w:numId w:val="1"/>
        </w:numPr>
        <w:kinsoku/>
        <w:wordWrap/>
        <w:topLinePunct w:val="0"/>
        <w:autoSpaceDE/>
        <w:autoSpaceDN/>
        <w:bidi w:val="0"/>
        <w:adjustRightInd w:val="0"/>
        <w:snapToGrid w:val="0"/>
        <w:spacing w:before="0" w:after="0" w:line="360" w:lineRule="auto"/>
        <w:jc w:val="center"/>
        <w:rPr>
          <w:rFonts w:ascii="宋体" w:hAnsi="宋体" w:cs="宋体"/>
          <w:color w:val="auto"/>
          <w:highlight w:val="none"/>
        </w:rPr>
      </w:pPr>
      <w:bookmarkStart w:id="89" w:name="_Toc30352"/>
      <w:bookmarkStart w:id="90" w:name="_Toc5328"/>
      <w:bookmarkStart w:id="91" w:name="_Toc18672"/>
      <w:r>
        <w:rPr>
          <w:rFonts w:hint="eastAsia" w:ascii="宋体" w:hAnsi="宋体" w:cs="宋体"/>
          <w:color w:val="auto"/>
          <w:highlight w:val="none"/>
        </w:rPr>
        <w:t>投标文件的递交</w:t>
      </w:r>
      <w:bookmarkEnd w:id="89"/>
      <w:bookmarkEnd w:id="90"/>
      <w:bookmarkEnd w:id="91"/>
    </w:p>
    <w:p w14:paraId="149A5F8C">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92" w:name="_Toc303084264"/>
      <w:bookmarkStart w:id="93" w:name="_Toc24997"/>
      <w:bookmarkStart w:id="94" w:name="_Toc24150"/>
      <w:bookmarkStart w:id="95" w:name="_Toc382049111"/>
      <w:bookmarkStart w:id="96" w:name="_Toc20933"/>
      <w:bookmarkStart w:id="97" w:name="_Toc9759"/>
      <w:r>
        <w:rPr>
          <w:rFonts w:hint="eastAsia" w:ascii="宋体" w:hAnsi="宋体" w:cs="宋体"/>
          <w:color w:val="auto"/>
          <w:sz w:val="21"/>
          <w:szCs w:val="21"/>
          <w:highlight w:val="none"/>
        </w:rPr>
        <w:t>投标文件的装订，签署，密封和标记</w:t>
      </w:r>
      <w:bookmarkEnd w:id="92"/>
      <w:bookmarkEnd w:id="93"/>
      <w:bookmarkEnd w:id="94"/>
      <w:bookmarkEnd w:id="95"/>
      <w:bookmarkEnd w:id="96"/>
      <w:bookmarkEnd w:id="97"/>
    </w:p>
    <w:p w14:paraId="02350AE9">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olor w:val="auto"/>
          <w:szCs w:val="21"/>
          <w:highlight w:val="none"/>
        </w:rPr>
        <w:t>投标人应按《投标资料表》的份数准备价格文件、商务文件、技术文件、唱标信封和电子文件（</w:t>
      </w:r>
      <w:r>
        <w:rPr>
          <w:rFonts w:hint="eastAsia" w:ascii="宋体" w:hAnsi="宋体"/>
          <w:b/>
          <w:color w:val="auto"/>
          <w:szCs w:val="21"/>
          <w:highlight w:val="none"/>
        </w:rPr>
        <w:t>价格文件、商务文件、技术文件分别单独装订成册</w:t>
      </w:r>
      <w:r>
        <w:rPr>
          <w:rFonts w:hint="eastAsia" w:ascii="宋体" w:hAnsi="宋体"/>
          <w:color w:val="auto"/>
          <w:szCs w:val="21"/>
          <w:highlight w:val="none"/>
        </w:rPr>
        <w:t>），每一份投标文件均需编上页次，装订成册（不允许使用活页夹，否则由此产生的风险由投标人自行承担）。所有投标文件必须封入密封完好的信封或包装，封口加盖公章</w:t>
      </w:r>
      <w:r>
        <w:rPr>
          <w:rFonts w:hint="eastAsia" w:ascii="宋体" w:hAnsi="宋体" w:cs="宋体"/>
          <w:color w:val="auto"/>
          <w:szCs w:val="21"/>
          <w:highlight w:val="none"/>
        </w:rPr>
        <w:t>。</w:t>
      </w:r>
    </w:p>
    <w:p w14:paraId="298455A7">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文件正本均须用不褪色墨水书写或打印。投标文件的副本可采用投标文件的正本复印件，每套投标文件应当标明“正本”、“副本”的字样。投标文件的【正本】及所有【副本】的封面及骑缝均须加盖投标人公章（文件每页盖章等同于盖骑缝章）。若正本与副本不符，以正本为准。</w:t>
      </w:r>
    </w:p>
    <w:p w14:paraId="19CED857">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联合体投标文件的【正本】及【副本】的封面及骑缝均须加盖所有联合体组成成员的公章。（文件每页盖章等同于盖骑缝章）</w:t>
      </w:r>
    </w:p>
    <w:p w14:paraId="62D09D3A">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电子文件内容包括：由投标人自行制作的与正本文件一致的所有文件。电子文件由光盘或U盘储存，并注明投标人名称及项目名称、采购项目编号，随投标文件一同密封提交。</w:t>
      </w:r>
    </w:p>
    <w:p w14:paraId="5BE6B5AB">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除投标人对错误处修改外，全套投标文件应无涂改或行间插字和增删。如有修改，修改处须由法定代表人或其正式授权代表在旁边签字及盖章。</w:t>
      </w:r>
    </w:p>
    <w:p w14:paraId="536254BC">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投标人应将投标文件进行非透明的封装，以防止投标文件内容的泄露。采购代理机构将拒绝接收采用透明包装进行密封的投标文件。</w:t>
      </w:r>
    </w:p>
    <w:p w14:paraId="13B18BD3">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密封破损导致投标文件内容直接或间接泄露的投标文件，采购代理机构将拒绝接收。</w:t>
      </w:r>
    </w:p>
    <w:p w14:paraId="12E3BD46">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为方便开标唱标，投标人应将开标一览表和授权委托书单独密封提交，并在信封上标明“唱标信封”字样。唱标信封内还须包括并不限于：投标保证金支付凭证银行汇款底单（复印件加盖公章，原件随身携带，以备查核）和投标保证金汇入情况说明（加盖公章）。投标人的法定代表人参加投标时，须开具法定代表人证明书，按上述要求与开标一览表一并密封提交。“唱标信封”份数及签章等要求与投标文件正本相同（1份）。</w:t>
      </w:r>
    </w:p>
    <w:p w14:paraId="3560FE38">
      <w:pPr>
        <w:pageBreakBefore w:val="0"/>
        <w:widowControl w:val="0"/>
        <w:numPr>
          <w:ilvl w:val="1"/>
          <w:numId w:val="2"/>
        </w:numPr>
        <w:kinsoku/>
        <w:wordWrap/>
        <w:overflowPunct w:val="0"/>
        <w:topLinePunct w:val="0"/>
        <w:autoSpaceDE/>
        <w:autoSpaceDN/>
        <w:bidi w:val="0"/>
        <w:adjustRightInd w:val="0"/>
        <w:snapToGrid w:val="0"/>
        <w:rPr>
          <w:rFonts w:ascii="宋体" w:hAnsi="宋体" w:cs="宋体"/>
          <w:b/>
          <w:bCs/>
          <w:color w:val="auto"/>
          <w:szCs w:val="21"/>
          <w:highlight w:val="none"/>
        </w:rPr>
      </w:pPr>
      <w:r>
        <w:rPr>
          <w:rFonts w:hint="eastAsia" w:ascii="宋体" w:hAnsi="宋体" w:cs="宋体"/>
          <w:b/>
          <w:bCs/>
          <w:color w:val="auto"/>
          <w:szCs w:val="21"/>
          <w:highlight w:val="none"/>
        </w:rPr>
        <w:t>未单独提交唱标信封的投标人投标文件不进行唱标，投标文件作无效处理。</w:t>
      </w:r>
    </w:p>
    <w:p w14:paraId="3A58AE59">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 xml:space="preserve">所有的信封均应注明： </w:t>
      </w:r>
    </w:p>
    <w:p w14:paraId="13514516">
      <w:pPr>
        <w:pageBreakBefore w:val="0"/>
        <w:widowControl w:val="0"/>
        <w:numPr>
          <w:ilvl w:val="0"/>
          <w:numId w:val="4"/>
        </w:numPr>
        <w:kinsoku/>
        <w:wordWrap/>
        <w:topLinePunct w:val="0"/>
        <w:autoSpaceDE/>
        <w:autoSpaceDN/>
        <w:bidi w:val="0"/>
        <w:adjustRightInd w:val="0"/>
        <w:snapToGrid w:val="0"/>
        <w:ind w:left="567"/>
        <w:jc w:val="both"/>
        <w:rPr>
          <w:rFonts w:ascii="宋体" w:hAnsi="宋体" w:cs="宋体"/>
          <w:color w:val="auto"/>
          <w:szCs w:val="21"/>
          <w:highlight w:val="none"/>
        </w:rPr>
      </w:pPr>
      <w:r>
        <w:rPr>
          <w:rFonts w:hint="eastAsia" w:ascii="宋体" w:hAnsi="宋体" w:cs="宋体"/>
          <w:color w:val="auto"/>
          <w:szCs w:val="21"/>
          <w:highlight w:val="none"/>
        </w:rPr>
        <w:t xml:space="preserve">收件人： </w:t>
      </w:r>
    </w:p>
    <w:p w14:paraId="44DBB419">
      <w:pPr>
        <w:pageBreakBefore w:val="0"/>
        <w:widowControl w:val="0"/>
        <w:numPr>
          <w:ilvl w:val="0"/>
          <w:numId w:val="4"/>
        </w:numPr>
        <w:kinsoku/>
        <w:wordWrap/>
        <w:topLinePunct w:val="0"/>
        <w:autoSpaceDE/>
        <w:autoSpaceDN/>
        <w:bidi w:val="0"/>
        <w:adjustRightInd w:val="0"/>
        <w:snapToGrid w:val="0"/>
        <w:ind w:left="567"/>
        <w:jc w:val="both"/>
        <w:rPr>
          <w:rFonts w:ascii="宋体" w:hAnsi="宋体" w:cs="宋体"/>
          <w:color w:val="auto"/>
          <w:szCs w:val="21"/>
          <w:highlight w:val="none"/>
        </w:rPr>
      </w:pPr>
      <w:r>
        <w:rPr>
          <w:rFonts w:hint="eastAsia" w:ascii="宋体" w:hAnsi="宋体" w:cs="宋体"/>
          <w:color w:val="auto"/>
          <w:szCs w:val="21"/>
          <w:highlight w:val="none"/>
        </w:rPr>
        <w:t>投标单位名称：</w:t>
      </w:r>
    </w:p>
    <w:p w14:paraId="4F77A42A">
      <w:pPr>
        <w:pageBreakBefore w:val="0"/>
        <w:widowControl w:val="0"/>
        <w:numPr>
          <w:ilvl w:val="0"/>
          <w:numId w:val="4"/>
        </w:numPr>
        <w:kinsoku/>
        <w:wordWrap/>
        <w:topLinePunct w:val="0"/>
        <w:autoSpaceDE/>
        <w:autoSpaceDN/>
        <w:bidi w:val="0"/>
        <w:adjustRightInd w:val="0"/>
        <w:snapToGrid w:val="0"/>
        <w:ind w:left="567"/>
        <w:jc w:val="both"/>
        <w:rPr>
          <w:rFonts w:ascii="宋体" w:hAnsi="宋体" w:cs="宋体"/>
          <w:color w:val="auto"/>
          <w:szCs w:val="21"/>
          <w:highlight w:val="none"/>
        </w:rPr>
      </w:pPr>
      <w:r>
        <w:rPr>
          <w:rFonts w:hint="eastAsia" w:ascii="宋体" w:hAnsi="宋体" w:cs="宋体"/>
          <w:color w:val="auto"/>
          <w:szCs w:val="21"/>
          <w:highlight w:val="none"/>
        </w:rPr>
        <w:t>项目名称：</w:t>
      </w:r>
    </w:p>
    <w:p w14:paraId="127C93E4">
      <w:pPr>
        <w:pageBreakBefore w:val="0"/>
        <w:widowControl w:val="0"/>
        <w:numPr>
          <w:ilvl w:val="0"/>
          <w:numId w:val="4"/>
        </w:numPr>
        <w:kinsoku/>
        <w:wordWrap/>
        <w:topLinePunct w:val="0"/>
        <w:autoSpaceDE/>
        <w:autoSpaceDN/>
        <w:bidi w:val="0"/>
        <w:adjustRightInd w:val="0"/>
        <w:snapToGrid w:val="0"/>
        <w:ind w:left="567"/>
        <w:jc w:val="both"/>
        <w:rPr>
          <w:rFonts w:ascii="宋体" w:hAnsi="宋体" w:cs="宋体"/>
          <w:color w:val="auto"/>
          <w:szCs w:val="21"/>
          <w:highlight w:val="none"/>
        </w:rPr>
      </w:pPr>
      <w:r>
        <w:rPr>
          <w:rFonts w:hint="eastAsia" w:ascii="宋体" w:hAnsi="宋体" w:cs="宋体"/>
          <w:color w:val="auto"/>
          <w:szCs w:val="21"/>
          <w:highlight w:val="none"/>
        </w:rPr>
        <w:t>项目采购项目编号：</w:t>
      </w:r>
    </w:p>
    <w:p w14:paraId="76E0E294">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密封信封上的项目编号错误或项目名称出现严重歧义的（包括采购内容不符），采购代理机构将拒绝接收。</w:t>
      </w:r>
    </w:p>
    <w:p w14:paraId="40D32814">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采购代理机构对所有投标文件的误投或提前启封概不负责。</w:t>
      </w:r>
    </w:p>
    <w:p w14:paraId="7381DB7C">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投标人同时参加几个包投标时必须按采购文件要求按包号分别制作投标文件，分别密封递交。</w:t>
      </w:r>
    </w:p>
    <w:p w14:paraId="598235BE">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传真、电传的投标文件将被拒绝。</w:t>
      </w:r>
    </w:p>
    <w:p w14:paraId="180DF395">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递交的投标文件中所提供的通讯方式应保持联络畅通，因联系不上而导致的所有后果由投标人自行承担。</w:t>
      </w:r>
    </w:p>
    <w:p w14:paraId="3FC64E22">
      <w:pPr>
        <w:pageBreakBefore w:val="0"/>
        <w:kinsoku/>
        <w:wordWrap/>
        <w:topLinePunct w:val="0"/>
        <w:autoSpaceDE/>
        <w:autoSpaceDN/>
        <w:bidi w:val="0"/>
        <w:adjustRightInd w:val="0"/>
        <w:snapToGrid w:val="0"/>
        <w:rPr>
          <w:rFonts w:ascii="宋体" w:hAnsi="宋体" w:cs="宋体"/>
          <w:color w:val="auto"/>
          <w:highlight w:val="none"/>
        </w:rPr>
      </w:pPr>
    </w:p>
    <w:p w14:paraId="5D85A1E7">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98" w:name="_Toc10590"/>
      <w:bookmarkStart w:id="99" w:name="_Toc27686"/>
      <w:bookmarkStart w:id="100" w:name="_Toc25895"/>
      <w:r>
        <w:rPr>
          <w:rFonts w:hint="eastAsia" w:ascii="宋体" w:hAnsi="宋体" w:cs="宋体"/>
          <w:color w:val="auto"/>
          <w:sz w:val="21"/>
          <w:szCs w:val="21"/>
          <w:highlight w:val="none"/>
        </w:rPr>
        <w:t>迟交的投标文件</w:t>
      </w:r>
      <w:bookmarkEnd w:id="98"/>
      <w:bookmarkEnd w:id="99"/>
      <w:bookmarkEnd w:id="100"/>
    </w:p>
    <w:p w14:paraId="1F74D998">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投标人在投标截止时间之后提交的投标文件，采购代理机构将拒绝接收。</w:t>
      </w:r>
    </w:p>
    <w:p w14:paraId="7DD74806">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有违反其他法律规定情形的，采购代理机构将拒绝接收。</w:t>
      </w:r>
    </w:p>
    <w:p w14:paraId="3ED8A5EA">
      <w:pPr>
        <w:pageBreakBefore w:val="0"/>
        <w:kinsoku/>
        <w:wordWrap/>
        <w:topLinePunct w:val="0"/>
        <w:autoSpaceDE/>
        <w:autoSpaceDN/>
        <w:bidi w:val="0"/>
        <w:adjustRightInd w:val="0"/>
        <w:snapToGrid w:val="0"/>
        <w:rPr>
          <w:rFonts w:ascii="宋体" w:hAnsi="宋体" w:cs="宋体"/>
          <w:color w:val="auto"/>
          <w:highlight w:val="none"/>
        </w:rPr>
      </w:pPr>
    </w:p>
    <w:p w14:paraId="63F0019A">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101" w:name="_Toc8282"/>
      <w:bookmarkStart w:id="102" w:name="_Toc8776"/>
      <w:bookmarkStart w:id="103" w:name="_Toc9143"/>
      <w:r>
        <w:rPr>
          <w:rFonts w:hint="eastAsia" w:ascii="宋体" w:hAnsi="宋体" w:cs="宋体"/>
          <w:color w:val="auto"/>
          <w:sz w:val="21"/>
          <w:szCs w:val="21"/>
          <w:highlight w:val="none"/>
        </w:rPr>
        <w:t>投标样品（如需提交）</w:t>
      </w:r>
      <w:bookmarkEnd w:id="101"/>
      <w:bookmarkEnd w:id="102"/>
      <w:bookmarkEnd w:id="103"/>
    </w:p>
    <w:p w14:paraId="24E07F07">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如有必要，采购代理机构可以要求投标人提供本服务项目涉及的部分设备或产品样品，投标人在投标时应提交《样品清单》。</w:t>
      </w:r>
    </w:p>
    <w:p w14:paraId="7B5F1219">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为方便评标，投标人在提供样品时，应在所提供的样品表面显著位置标注投标人的名称、包号、样品名称、采购文件规定的服务或货物编号。</w:t>
      </w:r>
    </w:p>
    <w:p w14:paraId="26480965">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样品作为投标文件的一部分，除非另有说明，中标单位的样品将作为履约验收标准的参考不再退还，未中标单位须在中标公告发布后五个工作日内，前往采购代理机构领取投标样品，逾期不领，采购代理机构将不承担样品的保管责任，由此引发的样品丢失、毁损，采购代理机构不予负责。</w:t>
      </w:r>
    </w:p>
    <w:p w14:paraId="55A83C19">
      <w:pPr>
        <w:pageBreakBefore w:val="0"/>
        <w:kinsoku/>
        <w:wordWrap/>
        <w:topLinePunct w:val="0"/>
        <w:autoSpaceDE/>
        <w:autoSpaceDN/>
        <w:bidi w:val="0"/>
        <w:adjustRightInd w:val="0"/>
        <w:snapToGrid w:val="0"/>
        <w:rPr>
          <w:rFonts w:ascii="宋体" w:hAnsi="宋体" w:cs="宋体"/>
          <w:color w:val="auto"/>
          <w:highlight w:val="none"/>
        </w:rPr>
      </w:pPr>
    </w:p>
    <w:p w14:paraId="3A11FE8B">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104" w:name="_Toc303084265"/>
      <w:bookmarkStart w:id="105" w:name="_Toc1666"/>
      <w:bookmarkStart w:id="106" w:name="_Toc382049112"/>
      <w:bookmarkStart w:id="107" w:name="_Toc1712"/>
      <w:bookmarkStart w:id="108" w:name="_Toc9777"/>
      <w:bookmarkStart w:id="109" w:name="_Toc17522"/>
      <w:r>
        <w:rPr>
          <w:rFonts w:hint="eastAsia" w:ascii="宋体" w:hAnsi="宋体" w:cs="宋体"/>
          <w:color w:val="auto"/>
          <w:sz w:val="21"/>
          <w:szCs w:val="21"/>
          <w:highlight w:val="none"/>
        </w:rPr>
        <w:t>投标截止期</w:t>
      </w:r>
      <w:bookmarkEnd w:id="104"/>
      <w:bookmarkEnd w:id="105"/>
      <w:bookmarkEnd w:id="106"/>
      <w:bookmarkEnd w:id="107"/>
      <w:bookmarkEnd w:id="108"/>
      <w:bookmarkEnd w:id="109"/>
    </w:p>
    <w:p w14:paraId="6CED8555">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投标人应在采购文件规定的截止日期和时间内，将投标文件送达到指定地点。</w:t>
      </w:r>
    </w:p>
    <w:p w14:paraId="71170829">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采购代理机构可按本须知规定以澄清或修改通知的方式，酌情延长递交投标文件的截止时间。在此情况下，投标人的所有权利和义务以及投标人受制约的截止时间，均以延长后新的投标截止时间为准。</w:t>
      </w:r>
    </w:p>
    <w:p w14:paraId="3BF916AE">
      <w:pPr>
        <w:pageBreakBefore w:val="0"/>
        <w:kinsoku/>
        <w:wordWrap/>
        <w:topLinePunct w:val="0"/>
        <w:autoSpaceDE/>
        <w:autoSpaceDN/>
        <w:bidi w:val="0"/>
        <w:adjustRightInd w:val="0"/>
        <w:snapToGrid w:val="0"/>
        <w:rPr>
          <w:rFonts w:ascii="宋体" w:hAnsi="宋体" w:cs="宋体"/>
          <w:color w:val="auto"/>
          <w:highlight w:val="none"/>
        </w:rPr>
      </w:pPr>
    </w:p>
    <w:p w14:paraId="7A4E56EB">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110" w:name="_Toc14518"/>
      <w:bookmarkStart w:id="111" w:name="_Toc25956"/>
      <w:bookmarkStart w:id="112" w:name="_Toc31417"/>
      <w:r>
        <w:rPr>
          <w:rFonts w:hint="eastAsia" w:ascii="宋体" w:hAnsi="宋体" w:cs="宋体"/>
          <w:color w:val="auto"/>
          <w:sz w:val="21"/>
          <w:szCs w:val="21"/>
          <w:highlight w:val="none"/>
        </w:rPr>
        <w:t>投标文件的补充、修改与撤回</w:t>
      </w:r>
      <w:bookmarkEnd w:id="110"/>
      <w:bookmarkEnd w:id="111"/>
      <w:bookmarkEnd w:id="112"/>
    </w:p>
    <w:p w14:paraId="2DB48B5D">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投标人在提交投标文件截止时间前，可以对所提交的投标文件进行补充、修改或撤回，并以纸质版形式通知采购代理机构。在提交投标文件截止时间之后，投标人不得对其投标文件做出任何的补充和修改。</w:t>
      </w:r>
    </w:p>
    <w:p w14:paraId="1CB4BAC1">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投标人对投标文件的补充、修改的内容应当按采购文件要求的签署、盖章、密封后，作为投标文件的组成部分。并按照采购文件规定密封和标记的要求提交，并在投标文件密封袋上标明“补充、修改”字样。</w:t>
      </w:r>
    </w:p>
    <w:p w14:paraId="06F446FC">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投标文件一经递交不予退还。</w:t>
      </w:r>
    </w:p>
    <w:p w14:paraId="2EE7CD0D">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在提交投标文件截止时间至投标有效期满之前，投标人不得撤回其投标，否则其投标保证金将不予退还。</w:t>
      </w:r>
    </w:p>
    <w:p w14:paraId="7280D671">
      <w:pPr>
        <w:pageBreakBefore w:val="0"/>
        <w:kinsoku/>
        <w:wordWrap/>
        <w:topLinePunct w:val="0"/>
        <w:autoSpaceDE/>
        <w:autoSpaceDN/>
        <w:bidi w:val="0"/>
        <w:adjustRightInd w:val="0"/>
        <w:snapToGrid w:val="0"/>
        <w:rPr>
          <w:rFonts w:ascii="宋体" w:hAnsi="宋体" w:cs="宋体"/>
          <w:color w:val="auto"/>
          <w:highlight w:val="none"/>
        </w:rPr>
      </w:pPr>
    </w:p>
    <w:p w14:paraId="62F34361">
      <w:pPr>
        <w:pStyle w:val="7"/>
        <w:pageBreakBefore w:val="0"/>
        <w:numPr>
          <w:ilvl w:val="0"/>
          <w:numId w:val="1"/>
        </w:numPr>
        <w:kinsoku/>
        <w:wordWrap/>
        <w:topLinePunct w:val="0"/>
        <w:autoSpaceDE/>
        <w:autoSpaceDN/>
        <w:bidi w:val="0"/>
        <w:adjustRightInd w:val="0"/>
        <w:snapToGrid w:val="0"/>
        <w:spacing w:before="0" w:after="0" w:line="360" w:lineRule="auto"/>
        <w:jc w:val="center"/>
        <w:rPr>
          <w:rFonts w:ascii="宋体" w:hAnsi="宋体" w:cs="宋体"/>
          <w:color w:val="auto"/>
          <w:highlight w:val="none"/>
        </w:rPr>
      </w:pPr>
      <w:bookmarkStart w:id="113" w:name="_Toc31906"/>
      <w:bookmarkStart w:id="114" w:name="_Toc4693"/>
      <w:bookmarkStart w:id="115" w:name="_Toc7410"/>
      <w:r>
        <w:rPr>
          <w:rFonts w:hint="eastAsia" w:ascii="宋体" w:hAnsi="宋体" w:cs="宋体"/>
          <w:color w:val="auto"/>
          <w:highlight w:val="none"/>
        </w:rPr>
        <w:t>开标与评标</w:t>
      </w:r>
      <w:bookmarkEnd w:id="113"/>
      <w:bookmarkEnd w:id="114"/>
      <w:bookmarkEnd w:id="115"/>
    </w:p>
    <w:p w14:paraId="6DCB9C88">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116" w:name="_Toc20009"/>
      <w:bookmarkStart w:id="117" w:name="_Toc9068"/>
      <w:bookmarkStart w:id="118" w:name="_Toc31671"/>
      <w:r>
        <w:rPr>
          <w:rFonts w:hint="eastAsia" w:ascii="宋体" w:hAnsi="宋体" w:cs="宋体"/>
          <w:color w:val="auto"/>
          <w:sz w:val="21"/>
          <w:szCs w:val="21"/>
          <w:highlight w:val="none"/>
        </w:rPr>
        <w:t>开标</w:t>
      </w:r>
      <w:bookmarkEnd w:id="116"/>
      <w:bookmarkEnd w:id="117"/>
      <w:bookmarkEnd w:id="118"/>
    </w:p>
    <w:p w14:paraId="610CB769">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采购代理机构按本采购文件所规定的时间和地点公开开标，并邀请所有投标人代表参加。</w:t>
      </w:r>
    </w:p>
    <w:p w14:paraId="11065419">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开标程序：</w:t>
      </w:r>
    </w:p>
    <w:p w14:paraId="3B686314">
      <w:pPr>
        <w:keepNext w:val="0"/>
        <w:keepLines w:val="0"/>
        <w:pageBreakBefore w:val="0"/>
        <w:widowControl w:val="0"/>
        <w:numPr>
          <w:ilvl w:val="2"/>
          <w:numId w:val="2"/>
        </w:numPr>
        <w:kinsoku/>
        <w:wordWrap/>
        <w:overflowPunct w:val="0"/>
        <w:topLinePunct w:val="0"/>
        <w:autoSpaceDE/>
        <w:autoSpaceDN/>
        <w:bidi w:val="0"/>
        <w:adjustRightInd w:val="0"/>
        <w:snapToGrid w:val="0"/>
        <w:ind w:left="850" w:hanging="850"/>
        <w:textAlignment w:val="auto"/>
        <w:rPr>
          <w:rFonts w:ascii="宋体" w:hAnsi="宋体" w:cs="宋体"/>
          <w:color w:val="auto"/>
          <w:szCs w:val="21"/>
          <w:highlight w:val="none"/>
        </w:rPr>
      </w:pPr>
      <w:r>
        <w:rPr>
          <w:rFonts w:hint="eastAsia" w:ascii="宋体" w:hAnsi="宋体" w:cs="宋体"/>
          <w:color w:val="auto"/>
          <w:szCs w:val="21"/>
          <w:highlight w:val="none"/>
        </w:rPr>
        <w:t>开标会由采购代理机构主持，投标人的法定代表人或其授权代表携带有效身份证明准时参加开标会并签名报到。</w:t>
      </w:r>
    </w:p>
    <w:p w14:paraId="07BFB864">
      <w:pPr>
        <w:keepNext w:val="0"/>
        <w:keepLines w:val="0"/>
        <w:pageBreakBefore w:val="0"/>
        <w:widowControl w:val="0"/>
        <w:numPr>
          <w:ilvl w:val="2"/>
          <w:numId w:val="2"/>
        </w:numPr>
        <w:kinsoku/>
        <w:wordWrap/>
        <w:overflowPunct w:val="0"/>
        <w:topLinePunct w:val="0"/>
        <w:autoSpaceDE/>
        <w:autoSpaceDN/>
        <w:bidi w:val="0"/>
        <w:adjustRightInd w:val="0"/>
        <w:snapToGrid w:val="0"/>
        <w:ind w:left="850" w:hanging="850"/>
        <w:textAlignment w:val="auto"/>
        <w:rPr>
          <w:rFonts w:ascii="宋体" w:hAnsi="宋体" w:cs="宋体"/>
          <w:color w:val="auto"/>
          <w:szCs w:val="21"/>
          <w:highlight w:val="none"/>
        </w:rPr>
      </w:pPr>
      <w:r>
        <w:rPr>
          <w:rFonts w:hint="eastAsia" w:ascii="宋体" w:hAnsi="宋体" w:cs="宋体"/>
          <w:color w:val="auto"/>
          <w:szCs w:val="21"/>
          <w:highlight w:val="none"/>
        </w:rPr>
        <w:t>开标时，由投标人或者其推选的代表检查投标文件的密封情况；经确认无误后，由采购人或者采购代理机构工作人员当众拆封，宣布投标人名称、投标价格和采购文件规定的需要宣布的其他内容；</w:t>
      </w:r>
    </w:p>
    <w:p w14:paraId="5B3D106C">
      <w:pPr>
        <w:keepNext w:val="0"/>
        <w:keepLines w:val="0"/>
        <w:pageBreakBefore w:val="0"/>
        <w:widowControl w:val="0"/>
        <w:numPr>
          <w:ilvl w:val="2"/>
          <w:numId w:val="2"/>
        </w:numPr>
        <w:kinsoku/>
        <w:wordWrap/>
        <w:overflowPunct w:val="0"/>
        <w:topLinePunct w:val="0"/>
        <w:autoSpaceDE/>
        <w:autoSpaceDN/>
        <w:bidi w:val="0"/>
        <w:adjustRightInd w:val="0"/>
        <w:snapToGrid w:val="0"/>
        <w:ind w:left="850" w:hanging="850"/>
        <w:textAlignment w:val="auto"/>
        <w:rPr>
          <w:rFonts w:ascii="宋体" w:hAnsi="宋体" w:cs="宋体"/>
          <w:color w:val="auto"/>
          <w:szCs w:val="21"/>
          <w:highlight w:val="none"/>
        </w:rPr>
      </w:pPr>
      <w:r>
        <w:rPr>
          <w:rFonts w:hint="eastAsia" w:ascii="宋体" w:hAnsi="宋体" w:cs="宋体"/>
          <w:color w:val="auto"/>
          <w:szCs w:val="21"/>
          <w:highlight w:val="none"/>
        </w:rPr>
        <w:t>投标人代表对开标过程和开标记录有异议，以及认为采购人、采购代理机构相关工作人员有需要回避的情形的，应当场提出询问或者回避申请。开标现场未提出异议的视为认同开标结果。开标结束后，投标人对开标过程和开标记录不得再提出异议。</w:t>
      </w:r>
    </w:p>
    <w:p w14:paraId="367C6CF1">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投标人未参加开标的，视同认可开标结果。</w:t>
      </w:r>
    </w:p>
    <w:p w14:paraId="05DEAC5B">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项目根据以下情况可以现场转换采购方式继续采购</w:t>
      </w:r>
      <w:r>
        <w:rPr>
          <w:rFonts w:hint="eastAsia" w:ascii="宋体" w:hAnsi="宋体" w:cs="宋体"/>
          <w:color w:val="auto"/>
          <w:szCs w:val="21"/>
          <w:highlight w:val="none"/>
          <w:lang w:eastAsia="zh-CN"/>
        </w:rPr>
        <w:t>：</w:t>
      </w:r>
    </w:p>
    <w:p w14:paraId="630E5EE3">
      <w:pPr>
        <w:pageBreakBefore w:val="0"/>
        <w:widowControl w:val="0"/>
        <w:numPr>
          <w:ilvl w:val="2"/>
          <w:numId w:val="2"/>
        </w:numPr>
        <w:kinsoku/>
        <w:wordWrap/>
        <w:overflowPunct w:val="0"/>
        <w:topLinePunct w:val="0"/>
        <w:autoSpaceDE/>
        <w:autoSpaceDN/>
        <w:bidi w:val="0"/>
        <w:adjustRightInd w:val="0"/>
        <w:snapToGrid w:val="0"/>
        <w:ind w:left="833" w:hanging="833"/>
        <w:rPr>
          <w:rFonts w:ascii="宋体" w:hAnsi="宋体" w:cs="宋体"/>
          <w:color w:val="auto"/>
          <w:szCs w:val="21"/>
          <w:highlight w:val="none"/>
        </w:rPr>
      </w:pPr>
      <w:r>
        <w:rPr>
          <w:rFonts w:hint="eastAsia" w:ascii="宋体" w:hAnsi="宋体" w:cs="宋体"/>
          <w:color w:val="auto"/>
          <w:szCs w:val="21"/>
          <w:highlight w:val="none"/>
        </w:rPr>
        <w:t>当</w:t>
      </w:r>
      <w:r>
        <w:rPr>
          <w:rFonts w:hint="eastAsia" w:ascii="宋体" w:hAnsi="宋体" w:cs="宋体"/>
          <w:color w:val="auto"/>
          <w:szCs w:val="21"/>
          <w:highlight w:val="none"/>
          <w:lang w:val="en-US" w:eastAsia="zh-CN"/>
        </w:rPr>
        <w:t>递交投标文件或</w:t>
      </w:r>
      <w:r>
        <w:rPr>
          <w:rFonts w:hint="eastAsia" w:ascii="宋体" w:hAnsi="宋体" w:cs="宋体"/>
          <w:color w:val="auto"/>
          <w:szCs w:val="21"/>
          <w:highlight w:val="none"/>
        </w:rPr>
        <w:t>有效投标人只有2家时，经评标委员会论证，采购文件没有不合理条款、采购程序符合规定的，经采购人和作出实质性响应的投标人代表同意后，现场转为2家供应商竞争性谈判采购。</w:t>
      </w:r>
    </w:p>
    <w:p w14:paraId="407106C5">
      <w:pPr>
        <w:pageBreakBefore w:val="0"/>
        <w:widowControl w:val="0"/>
        <w:numPr>
          <w:ilvl w:val="2"/>
          <w:numId w:val="2"/>
        </w:numPr>
        <w:kinsoku/>
        <w:wordWrap/>
        <w:overflowPunct w:val="0"/>
        <w:topLinePunct w:val="0"/>
        <w:autoSpaceDE/>
        <w:autoSpaceDN/>
        <w:bidi w:val="0"/>
        <w:adjustRightInd w:val="0"/>
        <w:snapToGrid w:val="0"/>
        <w:ind w:left="833" w:hanging="833"/>
        <w:rPr>
          <w:rFonts w:ascii="宋体" w:hAnsi="宋体" w:cs="宋体"/>
          <w:color w:val="auto"/>
          <w:szCs w:val="21"/>
          <w:highlight w:val="none"/>
        </w:rPr>
      </w:pPr>
      <w:r>
        <w:rPr>
          <w:rFonts w:hint="eastAsia" w:ascii="宋体" w:hAnsi="宋体" w:eastAsia="宋体" w:cs="宋体"/>
          <w:color w:val="auto"/>
          <w:szCs w:val="21"/>
          <w:highlight w:val="none"/>
        </w:rPr>
        <w:t>当</w:t>
      </w:r>
      <w:r>
        <w:rPr>
          <w:rFonts w:hint="eastAsia" w:ascii="宋体" w:hAnsi="宋体" w:cs="宋体"/>
          <w:color w:val="auto"/>
          <w:szCs w:val="21"/>
          <w:highlight w:val="none"/>
          <w:lang w:val="en-US" w:eastAsia="zh-CN"/>
        </w:rPr>
        <w:t>递交投标文件或</w:t>
      </w:r>
      <w:r>
        <w:rPr>
          <w:rFonts w:hint="eastAsia" w:ascii="宋体" w:hAnsi="宋体" w:eastAsia="宋体" w:cs="宋体"/>
          <w:color w:val="auto"/>
          <w:szCs w:val="21"/>
          <w:highlight w:val="none"/>
        </w:rPr>
        <w:t>有效投标人只有1家时，经评标委员会论证，采购文件没有不合理条款、采购程序符合规定的，经采购人和作出实质性响应的投标人代表同意后，现场转为1家供应商定向谈判采购。</w:t>
      </w:r>
    </w:p>
    <w:p w14:paraId="4D166731">
      <w:pPr>
        <w:pageBreakBefore w:val="0"/>
        <w:widowControl w:val="0"/>
        <w:numPr>
          <w:ilvl w:val="2"/>
          <w:numId w:val="2"/>
        </w:numPr>
        <w:kinsoku/>
        <w:wordWrap/>
        <w:overflowPunct w:val="0"/>
        <w:topLinePunct w:val="0"/>
        <w:autoSpaceDE/>
        <w:autoSpaceDN/>
        <w:bidi w:val="0"/>
        <w:adjustRightInd w:val="0"/>
        <w:snapToGrid w:val="0"/>
        <w:ind w:left="566" w:hanging="566"/>
        <w:rPr>
          <w:rFonts w:ascii="宋体" w:hAnsi="宋体" w:cs="宋体"/>
          <w:color w:val="auto"/>
          <w:szCs w:val="21"/>
          <w:highlight w:val="none"/>
        </w:rPr>
      </w:pPr>
      <w:r>
        <w:rPr>
          <w:rFonts w:hint="eastAsia" w:ascii="宋体" w:hAnsi="宋体" w:eastAsia="宋体" w:cs="宋体"/>
          <w:color w:val="auto"/>
          <w:szCs w:val="21"/>
          <w:highlight w:val="none"/>
        </w:rPr>
        <w:t>不同意转换采购方式，退出投标的投标人，投标保证金按文件规定退还。</w:t>
      </w:r>
    </w:p>
    <w:p w14:paraId="6732560B">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开标过程应当由采购人或者采购代理机构负责记录，由参加开标的各投标人代表和相关工作人员签字确认。</w:t>
      </w:r>
    </w:p>
    <w:p w14:paraId="22F4B690">
      <w:pPr>
        <w:pageBreakBefore w:val="0"/>
        <w:widowControl w:val="0"/>
        <w:kinsoku/>
        <w:wordWrap/>
        <w:topLinePunct w:val="0"/>
        <w:autoSpaceDE/>
        <w:autoSpaceDN/>
        <w:bidi w:val="0"/>
        <w:adjustRightInd w:val="0"/>
        <w:snapToGrid w:val="0"/>
        <w:ind w:left="567"/>
        <w:jc w:val="both"/>
        <w:rPr>
          <w:rFonts w:ascii="宋体" w:hAnsi="宋体" w:cs="宋体"/>
          <w:color w:val="auto"/>
          <w:highlight w:val="none"/>
        </w:rPr>
      </w:pPr>
    </w:p>
    <w:p w14:paraId="19E152CA">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119" w:name="_Toc4340"/>
      <w:bookmarkStart w:id="120" w:name="_Toc15560"/>
      <w:bookmarkStart w:id="121" w:name="_Toc3528"/>
      <w:r>
        <w:rPr>
          <w:rFonts w:hint="eastAsia" w:ascii="宋体" w:hAnsi="宋体" w:cs="宋体"/>
          <w:color w:val="auto"/>
          <w:sz w:val="21"/>
          <w:szCs w:val="21"/>
          <w:highlight w:val="none"/>
        </w:rPr>
        <w:t>评标委员会及评标方法</w:t>
      </w:r>
      <w:bookmarkEnd w:id="119"/>
      <w:bookmarkEnd w:id="120"/>
      <w:bookmarkEnd w:id="121"/>
    </w:p>
    <w:p w14:paraId="47CC0DBA">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依法组成评标委员会，评标委员会由采购人和有关技术、经济等方面的专家组成，成员人数为五人或五人以上单数，其中技术、经济等方面的专家不少于成员总数的三分之二，并负责评标工作。</w:t>
      </w:r>
    </w:p>
    <w:p w14:paraId="274FBBF4">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评审方法：本次采购的评审方法采用综合评分法。</w:t>
      </w:r>
    </w:p>
    <w:p w14:paraId="04BAA326">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定标原则：在最大限度满足采购文件实质性要求前提下，按照采购文件规定的各项评价因素进行量化打分，以评标总得分最高的投标人作为中标候选人或中标人。</w:t>
      </w:r>
    </w:p>
    <w:p w14:paraId="3F97C909">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评标委员会对投标文件的评审内容，分为商务评议、技术评议和价格评议。评审流程包括符合性检查、澄清问题、比较与评价、推荐中标候选人或确定中标人、编写评标报告等步骤。</w:t>
      </w:r>
    </w:p>
    <w:p w14:paraId="4505D1DB">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在评标期间，评标委员会可要求投标人对其投标文件进行澄清，但不得寻求、提供或允许对投标价格等实质性内容做任何更改。有关澄清的要求和答复均应以纸质版形式提交，如投标人拒绝评标委员会要求对其投标文件进行澄清的要求，所造成的后果由投标人自行承担。</w:t>
      </w:r>
    </w:p>
    <w:p w14:paraId="376AF2F6">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评标委员会和采购人在评审过程中有权核对投标文件中相关材料的原件，投标人在接到通知后应在评标委员会规定的时间内提交原件核查</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如未按期提交经催告后仍未提交的，相应</w:t>
      </w:r>
      <w:r>
        <w:rPr>
          <w:rFonts w:hint="eastAsia" w:ascii="宋体" w:hAnsi="宋体" w:cs="宋体"/>
          <w:color w:val="000000" w:themeColor="text1"/>
          <w:szCs w:val="21"/>
          <w14:textFill>
            <w14:solidFill>
              <w14:schemeClr w14:val="tx1"/>
            </w14:solidFill>
          </w14:textFill>
        </w:rPr>
        <w:t>投标文件</w:t>
      </w:r>
      <w:r>
        <w:rPr>
          <w:rFonts w:hint="eastAsia" w:ascii="宋体" w:hAnsi="宋体" w:cs="宋体"/>
          <w:color w:val="000000" w:themeColor="text1"/>
          <w:szCs w:val="21"/>
          <w:lang w:val="en-US" w:eastAsia="zh-CN"/>
          <w14:textFill>
            <w14:solidFill>
              <w14:schemeClr w14:val="tx1"/>
            </w14:solidFill>
          </w14:textFill>
        </w:rPr>
        <w:t>作</w:t>
      </w:r>
      <w:r>
        <w:rPr>
          <w:rFonts w:hint="eastAsia" w:ascii="宋体" w:hAnsi="宋体" w:cs="宋体"/>
          <w:color w:val="000000" w:themeColor="text1"/>
          <w:szCs w:val="21"/>
          <w14:textFill>
            <w14:solidFill>
              <w14:schemeClr w14:val="tx1"/>
            </w14:solidFill>
          </w14:textFill>
        </w:rPr>
        <w:t>无效</w:t>
      </w:r>
      <w:r>
        <w:rPr>
          <w:rFonts w:hint="eastAsia" w:ascii="宋体" w:hAnsi="宋体" w:cs="宋体"/>
          <w:color w:val="000000" w:themeColor="text1"/>
          <w:szCs w:val="21"/>
          <w:lang w:val="en-US" w:eastAsia="zh-CN"/>
          <w14:textFill>
            <w14:solidFill>
              <w14:schemeClr w14:val="tx1"/>
            </w14:solidFill>
          </w14:textFill>
        </w:rPr>
        <w:t>处理</w:t>
      </w:r>
      <w:r>
        <w:rPr>
          <w:rFonts w:hint="eastAsia" w:ascii="宋体" w:hAnsi="宋体" w:cs="宋体"/>
          <w:color w:val="auto"/>
          <w:szCs w:val="21"/>
          <w:highlight w:val="none"/>
        </w:rPr>
        <w:t>。</w:t>
      </w:r>
    </w:p>
    <w:p w14:paraId="62D8D114">
      <w:pPr>
        <w:pageBreakBefore w:val="0"/>
        <w:kinsoku/>
        <w:wordWrap/>
        <w:topLinePunct w:val="0"/>
        <w:autoSpaceDE/>
        <w:autoSpaceDN/>
        <w:bidi w:val="0"/>
        <w:adjustRightInd w:val="0"/>
        <w:snapToGrid w:val="0"/>
        <w:rPr>
          <w:rFonts w:ascii="宋体" w:hAnsi="宋体" w:cs="宋体"/>
          <w:color w:val="auto"/>
          <w:highlight w:val="none"/>
        </w:rPr>
      </w:pPr>
    </w:p>
    <w:p w14:paraId="1C6CD9C8">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122" w:name="_Toc22022"/>
      <w:bookmarkStart w:id="123" w:name="_Toc27735"/>
      <w:bookmarkStart w:id="124" w:name="_Toc4198"/>
      <w:r>
        <w:rPr>
          <w:rFonts w:hint="eastAsia" w:ascii="宋体" w:hAnsi="宋体" w:cs="宋体"/>
          <w:color w:val="auto"/>
          <w:sz w:val="21"/>
          <w:szCs w:val="21"/>
          <w:highlight w:val="none"/>
        </w:rPr>
        <w:t>评审原则及评标过程的保密</w:t>
      </w:r>
      <w:bookmarkEnd w:id="122"/>
      <w:bookmarkEnd w:id="123"/>
      <w:bookmarkEnd w:id="124"/>
    </w:p>
    <w:p w14:paraId="38DE7094">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评审的基本原则：评标委员会将依据采购文件的规定，遵循“公开、公平、公正、择优、信用”的原则进行评审工作。</w:t>
      </w:r>
    </w:p>
    <w:p w14:paraId="5D1E8E89">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从公开开标到签订合同，凡与审查、澄清、评审和投标有关的资料以及定标意见相关的事项，均不得向投标人及与评标无关的其他人透露。</w:t>
      </w:r>
    </w:p>
    <w:p w14:paraId="4157F92D">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任何单位和个人不得非法干预、影响评标的过程和结果。</w:t>
      </w:r>
    </w:p>
    <w:p w14:paraId="08B3AC8F">
      <w:pPr>
        <w:pageBreakBefore w:val="0"/>
        <w:kinsoku/>
        <w:wordWrap/>
        <w:topLinePunct w:val="0"/>
        <w:autoSpaceDE/>
        <w:autoSpaceDN/>
        <w:bidi w:val="0"/>
        <w:adjustRightInd w:val="0"/>
        <w:snapToGrid w:val="0"/>
        <w:rPr>
          <w:rFonts w:ascii="宋体" w:hAnsi="宋体" w:cs="宋体"/>
          <w:color w:val="auto"/>
          <w:highlight w:val="none"/>
        </w:rPr>
      </w:pPr>
    </w:p>
    <w:p w14:paraId="6960BF68">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125" w:name="_Toc20779"/>
      <w:bookmarkStart w:id="126" w:name="_Toc14506"/>
      <w:r>
        <w:rPr>
          <w:rFonts w:hint="eastAsia" w:ascii="宋体" w:hAnsi="宋体" w:cs="宋体"/>
          <w:color w:val="auto"/>
          <w:sz w:val="21"/>
          <w:szCs w:val="21"/>
          <w:highlight w:val="none"/>
        </w:rPr>
        <w:t>评标程序</w:t>
      </w:r>
      <w:bookmarkEnd w:id="125"/>
      <w:bookmarkEnd w:id="126"/>
    </w:p>
    <w:p w14:paraId="60D20984">
      <w:pPr>
        <w:pageBreakBefore w:val="0"/>
        <w:widowControl w:val="0"/>
        <w:numPr>
          <w:ilvl w:val="1"/>
          <w:numId w:val="2"/>
        </w:numPr>
        <w:kinsoku/>
        <w:wordWrap/>
        <w:overflowPunct w:val="0"/>
        <w:topLinePunct w:val="0"/>
        <w:autoSpaceDE/>
        <w:autoSpaceDN/>
        <w:bidi w:val="0"/>
        <w:adjustRightInd w:val="0"/>
        <w:snapToGrid w:val="0"/>
        <w:rPr>
          <w:rFonts w:ascii="宋体" w:hAnsi="宋体" w:cs="宋体"/>
          <w:b/>
          <w:bCs/>
          <w:color w:val="auto"/>
          <w:szCs w:val="21"/>
          <w:highlight w:val="none"/>
        </w:rPr>
      </w:pPr>
      <w:r>
        <w:rPr>
          <w:rFonts w:hint="eastAsia" w:ascii="宋体" w:hAnsi="宋体" w:cs="宋体"/>
          <w:b/>
          <w:bCs/>
          <w:color w:val="auto"/>
          <w:szCs w:val="21"/>
          <w:highlight w:val="none"/>
        </w:rPr>
        <w:t>资格性、符合性审查</w:t>
      </w:r>
    </w:p>
    <w:p w14:paraId="50D5D213">
      <w:pPr>
        <w:pageBreakBefore w:val="0"/>
        <w:widowControl w:val="0"/>
        <w:kinsoku/>
        <w:wordWrap/>
        <w:overflowPunct w:val="0"/>
        <w:topLinePunct w:val="0"/>
        <w:autoSpaceDE/>
        <w:autoSpaceDN/>
        <w:bidi w:val="0"/>
        <w:adjustRightInd w:val="0"/>
        <w:snapToGrid w:val="0"/>
        <w:ind w:firstLine="420" w:firstLineChars="200"/>
        <w:rPr>
          <w:rFonts w:ascii="宋体" w:hAnsi="宋体" w:cs="宋体"/>
          <w:color w:val="auto"/>
          <w:szCs w:val="21"/>
          <w:highlight w:val="none"/>
        </w:rPr>
      </w:pPr>
      <w:r>
        <w:rPr>
          <w:rFonts w:hint="eastAsia" w:ascii="宋体" w:hAnsi="宋体" w:cs="宋体"/>
          <w:color w:val="auto"/>
          <w:szCs w:val="21"/>
          <w:highlight w:val="none"/>
        </w:rPr>
        <w:t>公开采购项目开标结束后，评标委员会根据《资格性、符合性审查表》将依法对投标人进行资格性、符合性审查。投标人必须严格按照《资格性、符合性审查表》的评审内容的要求如实提供证明材料并应加盖投标人公章，对缺漏或不符合项将直接导致无效投标。合格投标人不足3家的，</w:t>
      </w:r>
      <w:r>
        <w:rPr>
          <w:rFonts w:hint="eastAsia" w:ascii="宋体" w:hAnsi="宋体" w:cs="宋体"/>
          <w:color w:val="auto"/>
          <w:szCs w:val="21"/>
          <w:highlight w:val="none"/>
          <w:lang w:val="en-US" w:eastAsia="zh-CN"/>
        </w:rPr>
        <w:t>按本须知23.4条款进行处理</w:t>
      </w:r>
      <w:r>
        <w:rPr>
          <w:rFonts w:hint="eastAsia" w:ascii="宋体" w:hAnsi="宋体" w:cs="宋体"/>
          <w:color w:val="auto"/>
          <w:szCs w:val="21"/>
          <w:highlight w:val="none"/>
        </w:rPr>
        <w:t>。未通过资格性、符合性审查的投标人不进入</w:t>
      </w:r>
      <w:r>
        <w:rPr>
          <w:rFonts w:hint="eastAsia" w:hAnsi="宋体" w:cs="宋体"/>
          <w:color w:val="auto"/>
          <w:szCs w:val="21"/>
          <w:highlight w:val="none"/>
        </w:rPr>
        <w:t>评标阶段</w:t>
      </w:r>
      <w:r>
        <w:rPr>
          <w:rFonts w:hint="eastAsia" w:ascii="宋体" w:hAnsi="宋体" w:cs="宋体"/>
          <w:color w:val="auto"/>
          <w:szCs w:val="21"/>
          <w:highlight w:val="none"/>
        </w:rPr>
        <w:t>的评审。</w:t>
      </w:r>
    </w:p>
    <w:p w14:paraId="5917E30A">
      <w:pPr>
        <w:pageBreakBefore w:val="0"/>
        <w:kinsoku/>
        <w:wordWrap/>
        <w:topLinePunct w:val="0"/>
        <w:autoSpaceDE/>
        <w:autoSpaceDN/>
        <w:bidi w:val="0"/>
        <w:adjustRightInd w:val="0"/>
        <w:snapToGrid w:val="0"/>
        <w:jc w:val="center"/>
        <w:rPr>
          <w:b/>
          <w:bCs/>
          <w:color w:val="auto"/>
          <w:highlight w:val="none"/>
        </w:rPr>
      </w:pPr>
      <w:r>
        <w:rPr>
          <w:b/>
          <w:bCs/>
          <w:color w:val="auto"/>
          <w:highlight w:val="none"/>
        </w:rPr>
        <w:t>《资格性</w:t>
      </w:r>
      <w:r>
        <w:rPr>
          <w:rFonts w:hint="eastAsia"/>
          <w:b/>
          <w:bCs/>
          <w:color w:val="auto"/>
          <w:highlight w:val="none"/>
        </w:rPr>
        <w:t>、符合性</w:t>
      </w:r>
      <w:r>
        <w:rPr>
          <w:b/>
          <w:bCs/>
          <w:color w:val="auto"/>
          <w:highlight w:val="none"/>
        </w:rPr>
        <w:t>审查表》</w:t>
      </w:r>
    </w:p>
    <w:tbl>
      <w:tblPr>
        <w:tblStyle w:val="32"/>
        <w:tblW w:w="97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8942"/>
      </w:tblGrid>
      <w:tr w14:paraId="60BEA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799" w:type="dxa"/>
            <w:tcBorders>
              <w:top w:val="single" w:color="auto" w:sz="4" w:space="0"/>
              <w:left w:val="single" w:color="auto" w:sz="4" w:space="0"/>
              <w:bottom w:val="single" w:color="auto" w:sz="4" w:space="0"/>
              <w:right w:val="single" w:color="auto" w:sz="4" w:space="0"/>
              <w:tl2br w:val="nil"/>
              <w:tr2bl w:val="nil"/>
            </w:tcBorders>
            <w:vAlign w:val="center"/>
          </w:tcPr>
          <w:p w14:paraId="259C20E8">
            <w:pPr>
              <w:pageBreakBefore w:val="0"/>
              <w:kinsoku/>
              <w:wordWrap/>
              <w:topLinePunct w:val="0"/>
              <w:autoSpaceDE/>
              <w:autoSpaceDN/>
              <w:bidi w:val="0"/>
              <w:adjustRightInd w:val="0"/>
              <w:snapToGrid/>
              <w:spacing w:line="240" w:lineRule="auto"/>
              <w:jc w:val="center"/>
              <w:rPr>
                <w:rFonts w:ascii="宋体" w:hAnsi="宋体" w:cs="宋体"/>
                <w:b/>
                <w:color w:val="auto"/>
                <w:szCs w:val="21"/>
                <w:highlight w:val="none"/>
              </w:rPr>
            </w:pPr>
            <w:r>
              <w:rPr>
                <w:rFonts w:hint="eastAsia" w:ascii="宋体" w:hAnsi="宋体" w:cs="宋体"/>
                <w:b/>
                <w:color w:val="auto"/>
                <w:szCs w:val="21"/>
                <w:highlight w:val="none"/>
              </w:rPr>
              <w:t>序号</w:t>
            </w:r>
          </w:p>
        </w:tc>
        <w:tc>
          <w:tcPr>
            <w:tcW w:w="8942" w:type="dxa"/>
            <w:tcBorders>
              <w:top w:val="single" w:color="auto" w:sz="4" w:space="0"/>
              <w:left w:val="single" w:color="auto" w:sz="4" w:space="0"/>
              <w:bottom w:val="single" w:color="auto" w:sz="4" w:space="0"/>
              <w:right w:val="single" w:color="auto" w:sz="4" w:space="0"/>
              <w:tl2br w:val="nil"/>
              <w:tr2bl w:val="nil"/>
            </w:tcBorders>
            <w:vAlign w:val="center"/>
          </w:tcPr>
          <w:p w14:paraId="09030543">
            <w:pPr>
              <w:pageBreakBefore w:val="0"/>
              <w:kinsoku/>
              <w:wordWrap/>
              <w:topLinePunct w:val="0"/>
              <w:autoSpaceDE/>
              <w:autoSpaceDN/>
              <w:bidi w:val="0"/>
              <w:adjustRightInd w:val="0"/>
              <w:snapToGrid/>
              <w:spacing w:line="240" w:lineRule="auto"/>
              <w:jc w:val="center"/>
              <w:rPr>
                <w:rFonts w:ascii="宋体" w:hAnsi="宋体" w:cs="宋体"/>
                <w:b/>
                <w:color w:val="auto"/>
                <w:szCs w:val="21"/>
                <w:highlight w:val="none"/>
              </w:rPr>
            </w:pPr>
            <w:r>
              <w:rPr>
                <w:rFonts w:hint="eastAsia" w:ascii="宋体" w:hAnsi="宋体" w:cs="宋体"/>
                <w:b/>
                <w:color w:val="auto"/>
                <w:szCs w:val="21"/>
                <w:highlight w:val="none"/>
              </w:rPr>
              <w:t>评 审 内 容</w:t>
            </w:r>
          </w:p>
        </w:tc>
      </w:tr>
      <w:tr w14:paraId="14FD5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99" w:type="dxa"/>
            <w:vMerge w:val="restart"/>
            <w:tcBorders>
              <w:top w:val="single" w:color="auto" w:sz="4" w:space="0"/>
              <w:left w:val="single" w:color="auto" w:sz="4" w:space="0"/>
              <w:right w:val="single" w:color="auto" w:sz="4" w:space="0"/>
              <w:tl2br w:val="nil"/>
              <w:tr2bl w:val="nil"/>
            </w:tcBorders>
            <w:vAlign w:val="center"/>
          </w:tcPr>
          <w:p w14:paraId="36D146B3">
            <w:pPr>
              <w:pageBreakBefore w:val="0"/>
              <w:numPr>
                <w:ilvl w:val="0"/>
                <w:numId w:val="5"/>
              </w:numPr>
              <w:tabs>
                <w:tab w:val="left" w:pos="176"/>
                <w:tab w:val="left" w:pos="612"/>
              </w:tabs>
              <w:kinsoku/>
              <w:wordWrap/>
              <w:topLinePunct w:val="0"/>
              <w:autoSpaceDE/>
              <w:autoSpaceDN/>
              <w:bidi w:val="0"/>
              <w:adjustRightInd w:val="0"/>
              <w:snapToGrid/>
              <w:spacing w:line="240" w:lineRule="auto"/>
              <w:jc w:val="center"/>
              <w:rPr>
                <w:rFonts w:ascii="宋体" w:hAnsi="宋体" w:cs="宋体"/>
                <w:color w:val="auto"/>
                <w:szCs w:val="21"/>
                <w:highlight w:val="none"/>
              </w:rPr>
            </w:pPr>
          </w:p>
        </w:tc>
        <w:tc>
          <w:tcPr>
            <w:tcW w:w="8942" w:type="dxa"/>
            <w:tcBorders>
              <w:top w:val="single" w:color="auto" w:sz="4" w:space="0"/>
              <w:left w:val="single" w:color="auto" w:sz="4" w:space="0"/>
              <w:bottom w:val="single" w:color="auto" w:sz="4" w:space="0"/>
              <w:right w:val="single" w:color="auto" w:sz="4" w:space="0"/>
              <w:tl2br w:val="nil"/>
              <w:tr2bl w:val="nil"/>
            </w:tcBorders>
            <w:vAlign w:val="center"/>
          </w:tcPr>
          <w:p w14:paraId="31D4DA5F">
            <w:pPr>
              <w:pageBreakBefore w:val="0"/>
              <w:tabs>
                <w:tab w:val="left" w:pos="612"/>
              </w:tabs>
              <w:kinsoku/>
              <w:wordWrap/>
              <w:topLinePunct w:val="0"/>
              <w:autoSpaceDE/>
              <w:autoSpaceDN/>
              <w:bidi w:val="0"/>
              <w:adjustRightInd w:val="0"/>
              <w:snapToGrid/>
              <w:spacing w:line="240" w:lineRule="auto"/>
              <w:rPr>
                <w:rFonts w:ascii="宋体" w:hAnsi="宋体" w:cs="宋体"/>
                <w:color w:val="auto"/>
                <w:szCs w:val="21"/>
                <w:highlight w:val="none"/>
              </w:rPr>
            </w:pPr>
            <w:r>
              <w:rPr>
                <w:rFonts w:hint="eastAsia" w:ascii="宋体" w:hAnsi="宋体" w:cs="宋体"/>
                <w:color w:val="auto"/>
                <w:szCs w:val="21"/>
                <w:highlight w:val="none"/>
              </w:rPr>
              <w:t>（1）</w:t>
            </w:r>
            <w:r>
              <w:rPr>
                <w:rFonts w:hint="eastAsia" w:asciiTheme="minorEastAsia" w:hAnsiTheme="minorEastAsia" w:eastAsiaTheme="minorEastAsia" w:cstheme="minorEastAsia"/>
                <w:color w:val="auto"/>
                <w:sz w:val="21"/>
                <w:szCs w:val="21"/>
                <w:highlight w:val="none"/>
              </w:rPr>
              <w:t>投标人须为在中华人民共和国境内登记注册的具有独立承担民事责任能力的法人或其他组织【提供《营业执照》复印件（加盖公章）或《事业单位法人证书》复印件（加盖公章）或其他主体证书复印件（加盖公章）】</w:t>
            </w:r>
            <w:r>
              <w:rPr>
                <w:rFonts w:hint="eastAsia" w:ascii="宋体" w:hAnsi="宋体" w:cs="宋体"/>
                <w:color w:val="auto"/>
                <w:szCs w:val="21"/>
                <w:highlight w:val="none"/>
              </w:rPr>
              <w:t>；</w:t>
            </w:r>
          </w:p>
        </w:tc>
      </w:tr>
      <w:tr w14:paraId="4B776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99" w:type="dxa"/>
            <w:vMerge w:val="continue"/>
            <w:tcBorders>
              <w:left w:val="single" w:color="auto" w:sz="4" w:space="0"/>
              <w:right w:val="single" w:color="auto" w:sz="4" w:space="0"/>
              <w:tl2br w:val="nil"/>
              <w:tr2bl w:val="nil"/>
            </w:tcBorders>
            <w:vAlign w:val="center"/>
          </w:tcPr>
          <w:p w14:paraId="2A284636">
            <w:pPr>
              <w:pageBreakBefore w:val="0"/>
              <w:tabs>
                <w:tab w:val="left" w:pos="176"/>
                <w:tab w:val="left" w:pos="420"/>
                <w:tab w:val="left" w:pos="612"/>
              </w:tabs>
              <w:kinsoku/>
              <w:wordWrap/>
              <w:topLinePunct w:val="0"/>
              <w:autoSpaceDE/>
              <w:autoSpaceDN/>
              <w:bidi w:val="0"/>
              <w:adjustRightInd w:val="0"/>
              <w:snapToGrid/>
              <w:spacing w:line="240" w:lineRule="auto"/>
              <w:jc w:val="center"/>
              <w:rPr>
                <w:rFonts w:ascii="宋体" w:hAnsi="宋体" w:cs="宋体"/>
                <w:color w:val="auto"/>
                <w:szCs w:val="21"/>
                <w:highlight w:val="none"/>
              </w:rPr>
            </w:pPr>
          </w:p>
        </w:tc>
        <w:tc>
          <w:tcPr>
            <w:tcW w:w="8942" w:type="dxa"/>
            <w:tcBorders>
              <w:top w:val="single" w:color="auto" w:sz="4" w:space="0"/>
              <w:left w:val="single" w:color="auto" w:sz="4" w:space="0"/>
              <w:bottom w:val="single" w:color="auto" w:sz="4" w:space="0"/>
              <w:right w:val="single" w:color="auto" w:sz="4" w:space="0"/>
              <w:tl2br w:val="nil"/>
              <w:tr2bl w:val="nil"/>
            </w:tcBorders>
            <w:vAlign w:val="center"/>
          </w:tcPr>
          <w:p w14:paraId="31697E7F">
            <w:pPr>
              <w:pageBreakBefore w:val="0"/>
              <w:tabs>
                <w:tab w:val="left" w:pos="612"/>
              </w:tabs>
              <w:kinsoku/>
              <w:wordWrap/>
              <w:topLinePunct w:val="0"/>
              <w:autoSpaceDE/>
              <w:autoSpaceDN/>
              <w:bidi w:val="0"/>
              <w:adjustRightInd w:val="0"/>
              <w:snapToGrid/>
              <w:spacing w:line="240" w:lineRule="auto"/>
              <w:rPr>
                <w:rFonts w:ascii="宋体" w:hAnsi="宋体" w:cs="宋体"/>
                <w:color w:val="auto"/>
                <w:szCs w:val="21"/>
                <w:highlight w:val="none"/>
              </w:rPr>
            </w:pPr>
            <w:r>
              <w:rPr>
                <w:rFonts w:hint="eastAsia" w:ascii="宋体" w:hAnsi="宋体" w:cs="宋体"/>
                <w:color w:val="auto"/>
                <w:szCs w:val="21"/>
                <w:highlight w:val="none"/>
              </w:rPr>
              <w:t>（2）</w:t>
            </w:r>
            <w:r>
              <w:rPr>
                <w:rFonts w:hint="eastAsia" w:asciiTheme="minorEastAsia" w:hAnsiTheme="minorEastAsia" w:eastAsiaTheme="minorEastAsia" w:cstheme="minorEastAsia"/>
                <w:color w:val="auto"/>
                <w:sz w:val="21"/>
                <w:szCs w:val="21"/>
                <w:highlight w:val="none"/>
              </w:rPr>
              <w:t>参加采购活动前三年内，在经营活动中没有重大违法记录（须提供书面声明）。重大违法记录，是指</w:t>
            </w:r>
            <w:r>
              <w:rPr>
                <w:rFonts w:hint="eastAsia" w:asciiTheme="minorEastAsia" w:hAnsiTheme="minorEastAsia" w:eastAsiaTheme="minorEastAsia" w:cstheme="minorEastAsia"/>
                <w:color w:val="auto"/>
                <w:sz w:val="21"/>
                <w:szCs w:val="21"/>
                <w:highlight w:val="none"/>
                <w:lang w:val="en-US" w:eastAsia="zh-CN"/>
              </w:rPr>
              <w:t>供应商</w:t>
            </w:r>
            <w:r>
              <w:rPr>
                <w:rFonts w:hint="eastAsia" w:asciiTheme="minorEastAsia" w:hAnsiTheme="minorEastAsia" w:eastAsiaTheme="minorEastAsia" w:cstheme="minorEastAsia"/>
                <w:color w:val="auto"/>
                <w:sz w:val="21"/>
                <w:szCs w:val="21"/>
                <w:highlight w:val="none"/>
              </w:rPr>
              <w:t>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如有最新发文通知，按最新文件执行）</w:t>
            </w:r>
            <w:r>
              <w:rPr>
                <w:rFonts w:hint="eastAsia" w:ascii="宋体" w:hAnsi="宋体" w:cs="宋体"/>
                <w:color w:val="auto"/>
                <w:szCs w:val="21"/>
                <w:highlight w:val="none"/>
              </w:rPr>
              <w:t>；</w:t>
            </w:r>
          </w:p>
        </w:tc>
      </w:tr>
      <w:tr w14:paraId="6B96C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99" w:type="dxa"/>
            <w:vMerge w:val="continue"/>
            <w:tcBorders>
              <w:left w:val="single" w:color="auto" w:sz="4" w:space="0"/>
              <w:right w:val="single" w:color="auto" w:sz="4" w:space="0"/>
              <w:tl2br w:val="nil"/>
              <w:tr2bl w:val="nil"/>
            </w:tcBorders>
            <w:vAlign w:val="center"/>
          </w:tcPr>
          <w:p w14:paraId="76C86571">
            <w:pPr>
              <w:pageBreakBefore w:val="0"/>
              <w:tabs>
                <w:tab w:val="left" w:pos="176"/>
                <w:tab w:val="left" w:pos="420"/>
                <w:tab w:val="left" w:pos="612"/>
              </w:tabs>
              <w:kinsoku/>
              <w:wordWrap/>
              <w:topLinePunct w:val="0"/>
              <w:autoSpaceDE/>
              <w:autoSpaceDN/>
              <w:bidi w:val="0"/>
              <w:adjustRightInd w:val="0"/>
              <w:snapToGrid/>
              <w:spacing w:line="240" w:lineRule="auto"/>
              <w:jc w:val="center"/>
              <w:rPr>
                <w:rFonts w:ascii="宋体" w:hAnsi="宋体" w:cs="宋体"/>
                <w:color w:val="auto"/>
                <w:szCs w:val="21"/>
                <w:highlight w:val="none"/>
              </w:rPr>
            </w:pPr>
          </w:p>
        </w:tc>
        <w:tc>
          <w:tcPr>
            <w:tcW w:w="8942" w:type="dxa"/>
            <w:tcBorders>
              <w:top w:val="single" w:color="auto" w:sz="4" w:space="0"/>
              <w:left w:val="single" w:color="auto" w:sz="4" w:space="0"/>
              <w:bottom w:val="single" w:color="auto" w:sz="4" w:space="0"/>
              <w:right w:val="single" w:color="auto" w:sz="4" w:space="0"/>
              <w:tl2br w:val="nil"/>
              <w:tr2bl w:val="nil"/>
            </w:tcBorders>
            <w:vAlign w:val="center"/>
          </w:tcPr>
          <w:p w14:paraId="11BDECF2">
            <w:pPr>
              <w:pageBreakBefore w:val="0"/>
              <w:tabs>
                <w:tab w:val="left" w:pos="612"/>
              </w:tabs>
              <w:kinsoku/>
              <w:wordWrap/>
              <w:topLinePunct w:val="0"/>
              <w:autoSpaceDE/>
              <w:autoSpaceDN/>
              <w:bidi w:val="0"/>
              <w:adjustRightInd w:val="0"/>
              <w:snapToGrid/>
              <w:spacing w:line="240" w:lineRule="auto"/>
              <w:rPr>
                <w:rFonts w:ascii="宋体" w:hAnsi="宋体" w:cs="宋体"/>
                <w:color w:val="auto"/>
                <w:szCs w:val="21"/>
                <w:highlight w:val="none"/>
              </w:rPr>
            </w:pPr>
            <w:r>
              <w:rPr>
                <w:rFonts w:hint="eastAsia" w:ascii="宋体" w:hAnsi="宋体" w:cs="宋体"/>
                <w:color w:val="auto"/>
                <w:szCs w:val="21"/>
                <w:highlight w:val="none"/>
              </w:rPr>
              <w:t>（3）</w:t>
            </w:r>
            <w:r>
              <w:rPr>
                <w:rFonts w:hint="eastAsia" w:asciiTheme="minorEastAsia" w:hAnsiTheme="minorEastAsia" w:eastAsiaTheme="minorEastAsia" w:cstheme="minorEastAsia"/>
                <w:color w:val="auto"/>
                <w:sz w:val="21"/>
                <w:szCs w:val="21"/>
                <w:highlight w:val="none"/>
              </w:rPr>
              <w:t>投标人的单位负责人为同一人或者存在直接控股、管理关系的不同投标人，不得参加同一合同项下的采购活动</w:t>
            </w:r>
            <w:r>
              <w:rPr>
                <w:rFonts w:hint="eastAsia" w:ascii="宋体" w:hAnsi="宋体" w:cs="宋体"/>
                <w:color w:val="auto"/>
                <w:szCs w:val="21"/>
                <w:highlight w:val="none"/>
              </w:rPr>
              <w:t>；</w:t>
            </w:r>
          </w:p>
        </w:tc>
      </w:tr>
      <w:tr w14:paraId="29BFE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99" w:type="dxa"/>
            <w:vMerge w:val="continue"/>
            <w:tcBorders>
              <w:left w:val="single" w:color="auto" w:sz="4" w:space="0"/>
              <w:right w:val="single" w:color="auto" w:sz="4" w:space="0"/>
              <w:tl2br w:val="nil"/>
              <w:tr2bl w:val="nil"/>
            </w:tcBorders>
            <w:vAlign w:val="center"/>
          </w:tcPr>
          <w:p w14:paraId="544FFB3B">
            <w:pPr>
              <w:pageBreakBefore w:val="0"/>
              <w:tabs>
                <w:tab w:val="left" w:pos="176"/>
                <w:tab w:val="left" w:pos="420"/>
                <w:tab w:val="left" w:pos="612"/>
              </w:tabs>
              <w:kinsoku/>
              <w:wordWrap/>
              <w:topLinePunct w:val="0"/>
              <w:autoSpaceDE/>
              <w:autoSpaceDN/>
              <w:bidi w:val="0"/>
              <w:adjustRightInd w:val="0"/>
              <w:snapToGrid/>
              <w:spacing w:line="240" w:lineRule="auto"/>
              <w:jc w:val="center"/>
              <w:rPr>
                <w:rFonts w:ascii="宋体" w:hAnsi="宋体" w:cs="宋体"/>
                <w:color w:val="auto"/>
                <w:szCs w:val="21"/>
                <w:highlight w:val="none"/>
              </w:rPr>
            </w:pPr>
          </w:p>
        </w:tc>
        <w:tc>
          <w:tcPr>
            <w:tcW w:w="8942" w:type="dxa"/>
            <w:tcBorders>
              <w:top w:val="single" w:color="auto" w:sz="4" w:space="0"/>
              <w:left w:val="single" w:color="auto" w:sz="4" w:space="0"/>
              <w:bottom w:val="single" w:color="auto" w:sz="4" w:space="0"/>
              <w:right w:val="single" w:color="auto" w:sz="4" w:space="0"/>
              <w:tl2br w:val="nil"/>
              <w:tr2bl w:val="nil"/>
            </w:tcBorders>
            <w:vAlign w:val="center"/>
          </w:tcPr>
          <w:p w14:paraId="733B3907">
            <w:pPr>
              <w:pageBreakBefore w:val="0"/>
              <w:tabs>
                <w:tab w:val="left" w:pos="612"/>
              </w:tabs>
              <w:kinsoku/>
              <w:wordWrap/>
              <w:topLinePunct w:val="0"/>
              <w:autoSpaceDE/>
              <w:autoSpaceDN/>
              <w:bidi w:val="0"/>
              <w:adjustRightInd w:val="0"/>
              <w:snapToGrid/>
              <w:spacing w:line="240" w:lineRule="auto"/>
              <w:rPr>
                <w:rFonts w:ascii="宋体" w:hAnsi="宋体" w:cs="宋体"/>
                <w:color w:val="auto"/>
                <w:szCs w:val="21"/>
                <w:highlight w:val="none"/>
              </w:rPr>
            </w:pPr>
            <w:r>
              <w:rPr>
                <w:rFonts w:hint="eastAsia" w:ascii="宋体" w:hAnsi="宋体" w:cs="宋体"/>
                <w:color w:val="auto"/>
                <w:szCs w:val="21"/>
                <w:highlight w:val="none"/>
              </w:rPr>
              <w:t>（4）</w:t>
            </w:r>
            <w:r>
              <w:rPr>
                <w:rFonts w:hint="eastAsia" w:asciiTheme="minorEastAsia" w:hAnsiTheme="minorEastAsia" w:eastAsiaTheme="minorEastAsia" w:cstheme="minorEastAsia"/>
                <w:color w:val="auto"/>
                <w:sz w:val="21"/>
                <w:szCs w:val="21"/>
                <w:highlight w:val="none"/>
              </w:rPr>
              <w:t>未被列入“信用中国”网站(www.creditchina.gov.cn )“</w:t>
            </w:r>
            <w:r>
              <w:rPr>
                <w:rFonts w:hint="eastAsia" w:asciiTheme="minorEastAsia" w:hAnsiTheme="minorEastAsia" w:eastAsiaTheme="minorEastAsia" w:cstheme="minorEastAsia"/>
                <w:color w:val="auto"/>
                <w:szCs w:val="21"/>
                <w:highlight w:val="none"/>
              </w:rPr>
              <w:t>失信被执行人或</w:t>
            </w:r>
            <w:r>
              <w:rPr>
                <w:rFonts w:hint="eastAsia" w:asciiTheme="minorEastAsia" w:hAnsiTheme="minorEastAsia" w:eastAsiaTheme="minorEastAsia" w:cstheme="minorEastAsia"/>
                <w:color w:val="auto"/>
                <w:szCs w:val="21"/>
                <w:highlight w:val="none"/>
                <w:lang w:eastAsia="zh-CN"/>
              </w:rPr>
              <w:t>重大税收违法失信主体</w:t>
            </w:r>
            <w:r>
              <w:rPr>
                <w:rFonts w:hint="eastAsia" w:asciiTheme="minorEastAsia" w:hAnsiTheme="minorEastAsia" w:eastAsiaTheme="minorEastAsia" w:cstheme="minorEastAsia"/>
                <w:color w:val="auto"/>
                <w:szCs w:val="21"/>
                <w:highlight w:val="none"/>
                <w:lang w:val="en-US" w:eastAsia="zh-CN"/>
              </w:rPr>
              <w:t>名单</w:t>
            </w:r>
            <w:r>
              <w:rPr>
                <w:rFonts w:hint="eastAsia" w:asciiTheme="minorEastAsia" w:hAnsiTheme="minorEastAsia" w:eastAsiaTheme="minorEastAsia" w:cstheme="minorEastAsia"/>
                <w:color w:val="auto"/>
                <w:szCs w:val="21"/>
                <w:highlight w:val="none"/>
              </w:rPr>
              <w:t>或政府采购严重违法失信行为记录名单</w:t>
            </w:r>
            <w:r>
              <w:rPr>
                <w:rFonts w:hint="eastAsia" w:asciiTheme="minorEastAsia" w:hAnsiTheme="minorEastAsia" w:eastAsiaTheme="minorEastAsia" w:cstheme="minorEastAsia"/>
                <w:color w:val="auto"/>
                <w:sz w:val="21"/>
                <w:szCs w:val="21"/>
                <w:highlight w:val="none"/>
              </w:rPr>
              <w:t>”。以代理机构于投标截止日当天在“信用中国”网站查询结果为准，如相关失信记录已失效，投标人需提供相关证明资料</w:t>
            </w:r>
            <w:r>
              <w:rPr>
                <w:rFonts w:hint="eastAsia" w:ascii="宋体" w:hAnsi="宋体" w:cs="宋体"/>
                <w:color w:val="auto"/>
                <w:szCs w:val="21"/>
                <w:highlight w:val="none"/>
              </w:rPr>
              <w:t>；</w:t>
            </w:r>
          </w:p>
        </w:tc>
      </w:tr>
      <w:tr w14:paraId="4C1F5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99" w:type="dxa"/>
            <w:vMerge w:val="continue"/>
            <w:tcBorders>
              <w:left w:val="single" w:color="auto" w:sz="4" w:space="0"/>
              <w:right w:val="single" w:color="auto" w:sz="4" w:space="0"/>
              <w:tl2br w:val="nil"/>
              <w:tr2bl w:val="nil"/>
            </w:tcBorders>
            <w:vAlign w:val="center"/>
          </w:tcPr>
          <w:p w14:paraId="2C9627D8">
            <w:pPr>
              <w:pageBreakBefore w:val="0"/>
              <w:tabs>
                <w:tab w:val="left" w:pos="176"/>
                <w:tab w:val="left" w:pos="420"/>
                <w:tab w:val="left" w:pos="612"/>
              </w:tabs>
              <w:kinsoku/>
              <w:wordWrap/>
              <w:topLinePunct w:val="0"/>
              <w:autoSpaceDE/>
              <w:autoSpaceDN/>
              <w:bidi w:val="0"/>
              <w:adjustRightInd w:val="0"/>
              <w:snapToGrid/>
              <w:spacing w:line="240" w:lineRule="auto"/>
              <w:jc w:val="center"/>
              <w:rPr>
                <w:rFonts w:ascii="宋体" w:hAnsi="宋体" w:cs="宋体"/>
                <w:color w:val="auto"/>
                <w:szCs w:val="21"/>
                <w:highlight w:val="none"/>
              </w:rPr>
            </w:pPr>
          </w:p>
        </w:tc>
        <w:tc>
          <w:tcPr>
            <w:tcW w:w="8942" w:type="dxa"/>
            <w:tcBorders>
              <w:top w:val="single" w:color="auto" w:sz="4" w:space="0"/>
              <w:left w:val="single" w:color="auto" w:sz="4" w:space="0"/>
              <w:bottom w:val="single" w:color="auto" w:sz="4" w:space="0"/>
              <w:right w:val="single" w:color="auto" w:sz="4" w:space="0"/>
              <w:tl2br w:val="nil"/>
              <w:tr2bl w:val="nil"/>
            </w:tcBorders>
            <w:vAlign w:val="center"/>
          </w:tcPr>
          <w:p w14:paraId="0B6F2F0B">
            <w:pPr>
              <w:pageBreakBefore w:val="0"/>
              <w:tabs>
                <w:tab w:val="left" w:pos="612"/>
              </w:tabs>
              <w:kinsoku/>
              <w:wordWrap/>
              <w:topLinePunct w:val="0"/>
              <w:autoSpaceDE/>
              <w:autoSpaceDN/>
              <w:bidi w:val="0"/>
              <w:adjustRightInd w:val="0"/>
              <w:snapToGrid/>
              <w:spacing w:line="240" w:lineRule="auto"/>
              <w:rPr>
                <w:rFonts w:hint="eastAsia" w:ascii="宋体" w:hAnsi="宋体" w:cs="宋体" w:eastAsiaTheme="minorEastAsia"/>
                <w:color w:val="auto"/>
                <w:szCs w:val="21"/>
                <w:highlight w:val="none"/>
                <w:lang w:eastAsia="zh-CN"/>
              </w:rPr>
            </w:pPr>
            <w:r>
              <w:rPr>
                <w:rFonts w:hint="eastAsia" w:ascii="宋体" w:hAnsi="宋体" w:cs="宋体"/>
                <w:color w:val="auto"/>
                <w:szCs w:val="21"/>
                <w:highlight w:val="none"/>
              </w:rPr>
              <w:t>（5）</w:t>
            </w:r>
            <w:r>
              <w:rPr>
                <w:rFonts w:hint="eastAsia" w:asciiTheme="minorEastAsia" w:hAnsiTheme="minorEastAsia" w:eastAsiaTheme="minorEastAsia" w:cstheme="minorEastAsia"/>
                <w:color w:val="auto"/>
                <w:sz w:val="21"/>
                <w:szCs w:val="21"/>
                <w:highlight w:val="none"/>
              </w:rPr>
              <w:t>未被列入东实</w:t>
            </w:r>
            <w:r>
              <w:rPr>
                <w:rFonts w:hint="eastAsia" w:asciiTheme="minorEastAsia" w:hAnsiTheme="minorEastAsia" w:eastAsiaTheme="minorEastAsia" w:cstheme="minorEastAsia"/>
                <w:color w:val="auto"/>
                <w:sz w:val="21"/>
                <w:szCs w:val="21"/>
                <w:highlight w:val="none"/>
                <w:lang w:val="en-US" w:eastAsia="zh-CN"/>
              </w:rPr>
              <w:t>环境</w:t>
            </w:r>
            <w:r>
              <w:rPr>
                <w:rFonts w:hint="eastAsia" w:asciiTheme="minorEastAsia" w:hAnsiTheme="minorEastAsia" w:eastAsiaTheme="minorEastAsia" w:cstheme="minorEastAsia"/>
                <w:color w:val="auto"/>
                <w:sz w:val="21"/>
                <w:szCs w:val="21"/>
                <w:highlight w:val="none"/>
              </w:rPr>
              <w:t>及下属企业相关领域黑名单。</w:t>
            </w:r>
          </w:p>
        </w:tc>
      </w:tr>
      <w:tr w14:paraId="2EC4C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99" w:type="dxa"/>
            <w:vMerge w:val="continue"/>
            <w:tcBorders>
              <w:left w:val="single" w:color="auto" w:sz="4" w:space="0"/>
              <w:right w:val="single" w:color="auto" w:sz="4" w:space="0"/>
              <w:tl2br w:val="nil"/>
              <w:tr2bl w:val="nil"/>
            </w:tcBorders>
            <w:vAlign w:val="center"/>
          </w:tcPr>
          <w:p w14:paraId="4597ED65">
            <w:pPr>
              <w:pageBreakBefore w:val="0"/>
              <w:tabs>
                <w:tab w:val="left" w:pos="176"/>
                <w:tab w:val="left" w:pos="420"/>
                <w:tab w:val="left" w:pos="612"/>
              </w:tabs>
              <w:kinsoku/>
              <w:wordWrap/>
              <w:topLinePunct w:val="0"/>
              <w:autoSpaceDE/>
              <w:autoSpaceDN/>
              <w:bidi w:val="0"/>
              <w:adjustRightInd w:val="0"/>
              <w:snapToGrid/>
              <w:spacing w:line="240" w:lineRule="auto"/>
              <w:jc w:val="center"/>
              <w:rPr>
                <w:rFonts w:ascii="宋体" w:hAnsi="宋体" w:cs="宋体"/>
                <w:color w:val="auto"/>
                <w:szCs w:val="21"/>
                <w:highlight w:val="none"/>
              </w:rPr>
            </w:pPr>
          </w:p>
        </w:tc>
        <w:tc>
          <w:tcPr>
            <w:tcW w:w="8942" w:type="dxa"/>
            <w:tcBorders>
              <w:top w:val="single" w:color="auto" w:sz="4" w:space="0"/>
              <w:left w:val="single" w:color="auto" w:sz="4" w:space="0"/>
              <w:bottom w:val="single" w:color="auto" w:sz="4" w:space="0"/>
              <w:right w:val="single" w:color="auto" w:sz="4" w:space="0"/>
              <w:tl2br w:val="nil"/>
              <w:tr2bl w:val="nil"/>
            </w:tcBorders>
            <w:vAlign w:val="center"/>
          </w:tcPr>
          <w:p w14:paraId="06C846CC">
            <w:pPr>
              <w:pageBreakBefore w:val="0"/>
              <w:tabs>
                <w:tab w:val="left" w:pos="612"/>
              </w:tabs>
              <w:kinsoku/>
              <w:wordWrap/>
              <w:topLinePunct w:val="0"/>
              <w:autoSpaceDE/>
              <w:autoSpaceDN/>
              <w:bidi w:val="0"/>
              <w:adjustRightInd w:val="0"/>
              <w:snapToGrid/>
              <w:spacing w:line="240" w:lineRule="auto"/>
              <w:rPr>
                <w:rFonts w:hint="eastAsia" w:ascii="宋体" w:hAnsi="宋体" w:cs="宋体"/>
                <w:color w:val="auto"/>
                <w:szCs w:val="21"/>
                <w:highlight w:val="none"/>
              </w:rPr>
            </w:pPr>
            <w:r>
              <w:rPr>
                <w:rFonts w:hint="eastAsia" w:ascii="宋体" w:hAnsi="宋体" w:cs="宋体"/>
                <w:color w:val="auto"/>
                <w:szCs w:val="21"/>
                <w:highlight w:val="none"/>
              </w:rPr>
              <w:t>（6）</w:t>
            </w:r>
            <w:r>
              <w:rPr>
                <w:rFonts w:hint="eastAsia" w:asciiTheme="minorEastAsia" w:hAnsiTheme="minorEastAsia" w:eastAsiaTheme="minorEastAsia" w:cstheme="minorEastAsia"/>
                <w:color w:val="auto"/>
                <w:sz w:val="21"/>
                <w:szCs w:val="21"/>
                <w:highlight w:val="none"/>
              </w:rPr>
              <w:t>投标人自2021年</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月1日（以合同签订时间为准）以来至本项目投标截止时间，</w:t>
            </w:r>
            <w:r>
              <w:rPr>
                <w:rFonts w:hint="eastAsia" w:asciiTheme="minorEastAsia" w:hAnsiTheme="minorEastAsia" w:eastAsiaTheme="minorEastAsia" w:cstheme="minorEastAsia"/>
                <w:color w:val="auto"/>
                <w:sz w:val="21"/>
                <w:szCs w:val="21"/>
                <w:highlight w:val="none"/>
                <w:lang w:val="en-US" w:eastAsia="zh-CN"/>
              </w:rPr>
              <w:t>提供</w:t>
            </w:r>
            <w:r>
              <w:rPr>
                <w:rFonts w:hint="eastAsia" w:asciiTheme="minorEastAsia" w:hAnsiTheme="minorEastAsia" w:eastAsiaTheme="minorEastAsia" w:cstheme="minorEastAsia"/>
                <w:color w:val="auto"/>
                <w:sz w:val="21"/>
                <w:szCs w:val="21"/>
                <w:highlight w:val="none"/>
              </w:rPr>
              <w:t>1个</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独立完成项目</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环境影响评价</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报告书</w:t>
            </w:r>
            <w:r>
              <w:rPr>
                <w:rFonts w:hint="eastAsia" w:asciiTheme="minorEastAsia" w:hAnsiTheme="minorEastAsia" w:eastAsiaTheme="minorEastAsia" w:cstheme="minorEastAsia"/>
                <w:b w:val="0"/>
                <w:bCs w:val="0"/>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表</w:t>
            </w:r>
            <w:r>
              <w:rPr>
                <w:rFonts w:hint="eastAsia" w:asciiTheme="minorEastAsia" w:hAnsiTheme="minorEastAsia" w:eastAsiaTheme="minorEastAsia" w:cstheme="minorEastAsia"/>
                <w:b w:val="0"/>
                <w:bCs w:val="0"/>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val="0"/>
                <w:bCs w:val="0"/>
                <w:color w:val="000000" w:themeColor="text1"/>
                <w:sz w:val="21"/>
                <w:szCs w:val="21"/>
                <w:highlight w:val="none"/>
                <w14:textFill>
                  <w14:solidFill>
                    <w14:schemeClr w14:val="tx1"/>
                  </w14:solidFill>
                </w14:textFill>
              </w:rPr>
              <w:t>编制并取得生态环境部门批复</w:t>
            </w:r>
            <w:r>
              <w:rPr>
                <w:rFonts w:hint="eastAsia" w:asciiTheme="minorEastAsia" w:hAnsiTheme="minorEastAsia" w:eastAsiaTheme="minorEastAsia" w:cstheme="minorEastAsia"/>
                <w:b w:val="0"/>
                <w:bCs w:val="0"/>
                <w:color w:val="000000" w:themeColor="text1"/>
                <w:sz w:val="21"/>
                <w:szCs w:val="21"/>
                <w:highlight w:val="none"/>
                <w:lang w:val="en-US" w:eastAsia="zh-CN"/>
                <w14:textFill>
                  <w14:solidFill>
                    <w14:schemeClr w14:val="tx1"/>
                  </w14:solidFill>
                </w14:textFill>
              </w:rPr>
              <w:t>的</w:t>
            </w:r>
            <w:r>
              <w:rPr>
                <w:rFonts w:hint="eastAsia" w:asciiTheme="minorEastAsia" w:hAnsiTheme="minorEastAsia" w:eastAsiaTheme="minorEastAsia" w:cstheme="minorEastAsia"/>
                <w:color w:val="auto"/>
                <w:sz w:val="21"/>
                <w:szCs w:val="21"/>
                <w:highlight w:val="none"/>
              </w:rPr>
              <w:t>项目业绩</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snapToGrid w:val="0"/>
                <w:color w:val="auto"/>
                <w:sz w:val="21"/>
                <w:szCs w:val="21"/>
                <w:highlight w:val="none"/>
              </w:rPr>
              <w:t>须</w:t>
            </w:r>
            <w:r>
              <w:rPr>
                <w:rFonts w:hint="eastAsia" w:asciiTheme="minorEastAsia" w:hAnsiTheme="minorEastAsia" w:eastAsiaTheme="minorEastAsia" w:cstheme="minorEastAsia"/>
                <w:snapToGrid w:val="0"/>
                <w:color w:val="auto"/>
                <w:sz w:val="21"/>
                <w:szCs w:val="21"/>
                <w:highlight w:val="none"/>
                <w:lang w:val="en-US" w:eastAsia="zh-CN"/>
              </w:rPr>
              <w:t>同时</w:t>
            </w:r>
            <w:r>
              <w:rPr>
                <w:rFonts w:hint="eastAsia" w:asciiTheme="minorEastAsia" w:hAnsiTheme="minorEastAsia" w:eastAsiaTheme="minorEastAsia" w:cstheme="minorEastAsia"/>
                <w:snapToGrid w:val="0"/>
                <w:color w:val="auto"/>
                <w:sz w:val="21"/>
                <w:szCs w:val="21"/>
                <w:highlight w:val="none"/>
              </w:rPr>
              <w:t>提供</w:t>
            </w:r>
            <w:r>
              <w:rPr>
                <w:rFonts w:hint="eastAsia" w:asciiTheme="minorEastAsia" w:hAnsiTheme="minorEastAsia" w:eastAsiaTheme="minorEastAsia" w:cstheme="minorEastAsia"/>
                <w:snapToGrid w:val="0"/>
                <w:color w:val="auto"/>
                <w:sz w:val="21"/>
                <w:szCs w:val="21"/>
                <w:highlight w:val="none"/>
                <w:lang w:val="en-US" w:eastAsia="zh-CN"/>
              </w:rPr>
              <w:t>①</w:t>
            </w:r>
            <w:r>
              <w:rPr>
                <w:rFonts w:hint="eastAsia" w:asciiTheme="minorEastAsia" w:hAnsiTheme="minorEastAsia" w:eastAsiaTheme="minorEastAsia" w:cstheme="minorEastAsia"/>
                <w:snapToGrid w:val="0"/>
                <w:color w:val="auto"/>
                <w:sz w:val="21"/>
                <w:szCs w:val="21"/>
                <w:highlight w:val="none"/>
              </w:rPr>
              <w:t>合同</w:t>
            </w:r>
            <w:r>
              <w:rPr>
                <w:rFonts w:hint="eastAsia" w:asciiTheme="minorEastAsia" w:hAnsiTheme="minorEastAsia" w:eastAsiaTheme="minorEastAsia" w:cstheme="minorEastAsia"/>
                <w:snapToGrid w:val="0"/>
                <w:color w:val="auto"/>
                <w:sz w:val="21"/>
                <w:szCs w:val="21"/>
                <w:highlight w:val="none"/>
                <w:lang w:val="en-US" w:eastAsia="zh-CN"/>
              </w:rPr>
              <w:t>关键页（包含签订日期、服务内容、盖章页等）</w:t>
            </w:r>
            <w:r>
              <w:rPr>
                <w:rFonts w:hint="eastAsia" w:asciiTheme="minorEastAsia" w:hAnsiTheme="minorEastAsia" w:eastAsiaTheme="minorEastAsia" w:cstheme="minorEastAsia"/>
                <w:snapToGrid w:val="0"/>
                <w:color w:val="auto"/>
                <w:sz w:val="21"/>
                <w:szCs w:val="21"/>
                <w:highlight w:val="none"/>
              </w:rPr>
              <w:t>复印件</w:t>
            </w:r>
            <w:r>
              <w:rPr>
                <w:rFonts w:hint="eastAsia" w:asciiTheme="minorEastAsia" w:hAnsiTheme="minorEastAsia" w:eastAsiaTheme="minorEastAsia" w:cstheme="minorEastAsia"/>
                <w:snapToGrid w:val="0"/>
                <w:color w:val="auto"/>
                <w:sz w:val="21"/>
                <w:szCs w:val="21"/>
                <w:highlight w:val="none"/>
                <w:lang w:eastAsia="zh-CN"/>
              </w:rPr>
              <w:t>；</w:t>
            </w:r>
            <w:r>
              <w:rPr>
                <w:rFonts w:hint="eastAsia" w:asciiTheme="minorEastAsia" w:hAnsiTheme="minorEastAsia" w:eastAsiaTheme="minorEastAsia" w:cstheme="minorEastAsia"/>
                <w:snapToGrid w:val="0"/>
                <w:color w:val="auto"/>
                <w:sz w:val="21"/>
                <w:szCs w:val="21"/>
                <w:highlight w:val="none"/>
                <w:lang w:val="en-US" w:eastAsia="zh-CN"/>
              </w:rPr>
              <w:t>②项目</w:t>
            </w:r>
            <w:r>
              <w:rPr>
                <w:rFonts w:hint="eastAsia" w:asciiTheme="minorEastAsia" w:hAnsiTheme="minorEastAsia" w:eastAsiaTheme="minorEastAsia" w:cstheme="minorEastAsia"/>
                <w:snapToGrid w:val="0"/>
                <w:color w:val="auto"/>
                <w:sz w:val="21"/>
                <w:szCs w:val="21"/>
                <w:highlight w:val="none"/>
                <w:lang w:eastAsia="zh-CN"/>
              </w:rPr>
              <w:t>环评批复文件（202</w:t>
            </w:r>
            <w:r>
              <w:rPr>
                <w:rFonts w:hint="eastAsia" w:asciiTheme="minorEastAsia" w:hAnsiTheme="minorEastAsia" w:eastAsiaTheme="minorEastAsia" w:cstheme="minorEastAsia"/>
                <w:snapToGrid w:val="0"/>
                <w:color w:val="auto"/>
                <w:sz w:val="21"/>
                <w:szCs w:val="21"/>
                <w:highlight w:val="none"/>
                <w:lang w:val="en-US" w:eastAsia="zh-CN"/>
              </w:rPr>
              <w:t>1</w:t>
            </w:r>
            <w:r>
              <w:rPr>
                <w:rFonts w:hint="eastAsia" w:asciiTheme="minorEastAsia" w:hAnsiTheme="minorEastAsia" w:eastAsiaTheme="minorEastAsia" w:cstheme="minorEastAsia"/>
                <w:snapToGrid w:val="0"/>
                <w:color w:val="auto"/>
                <w:sz w:val="21"/>
                <w:szCs w:val="21"/>
                <w:highlight w:val="none"/>
                <w:lang w:eastAsia="zh-CN"/>
              </w:rPr>
              <w:t>年</w:t>
            </w:r>
            <w:r>
              <w:rPr>
                <w:rFonts w:hint="eastAsia" w:asciiTheme="minorEastAsia" w:hAnsiTheme="minorEastAsia" w:eastAsiaTheme="minorEastAsia" w:cstheme="minorEastAsia"/>
                <w:snapToGrid w:val="0"/>
                <w:color w:val="auto"/>
                <w:sz w:val="21"/>
                <w:szCs w:val="21"/>
                <w:highlight w:val="none"/>
                <w:lang w:val="en-US" w:eastAsia="zh-CN"/>
              </w:rPr>
              <w:t>1</w:t>
            </w:r>
            <w:r>
              <w:rPr>
                <w:rFonts w:hint="eastAsia" w:asciiTheme="minorEastAsia" w:hAnsiTheme="minorEastAsia" w:eastAsiaTheme="minorEastAsia" w:cstheme="minorEastAsia"/>
                <w:snapToGrid w:val="0"/>
                <w:color w:val="auto"/>
                <w:sz w:val="21"/>
                <w:szCs w:val="21"/>
                <w:highlight w:val="none"/>
                <w:lang w:eastAsia="zh-CN"/>
              </w:rPr>
              <w:t>月1日</w:t>
            </w:r>
            <w:r>
              <w:rPr>
                <w:rFonts w:hint="eastAsia" w:asciiTheme="minorEastAsia" w:hAnsiTheme="minorEastAsia" w:eastAsiaTheme="minorEastAsia" w:cstheme="minorEastAsia"/>
                <w:snapToGrid w:val="0"/>
                <w:color w:val="auto"/>
                <w:sz w:val="21"/>
                <w:szCs w:val="21"/>
                <w:highlight w:val="none"/>
                <w:lang w:val="en-US" w:eastAsia="zh-CN"/>
              </w:rPr>
              <w:t>以后且批复需明确编制单位，未明确编制单位的，补充送审报告中编制单位和编制人员情况表。</w:t>
            </w:r>
            <w:r>
              <w:rPr>
                <w:rFonts w:hint="eastAsia" w:asciiTheme="minorEastAsia" w:hAnsiTheme="minorEastAsia" w:eastAsiaTheme="minorEastAsia" w:cstheme="minorEastAsia"/>
                <w:snapToGrid w:val="0"/>
                <w:color w:val="auto"/>
                <w:sz w:val="21"/>
                <w:szCs w:val="21"/>
                <w:highlight w:val="none"/>
                <w:lang w:eastAsia="zh-CN"/>
              </w:rPr>
              <w:t>）</w:t>
            </w:r>
            <w:r>
              <w:rPr>
                <w:rFonts w:hint="eastAsia" w:asciiTheme="minorEastAsia" w:hAnsiTheme="minorEastAsia" w:eastAsiaTheme="minorEastAsia" w:cstheme="minorEastAsia"/>
                <w:snapToGrid w:val="0"/>
                <w:color w:val="auto"/>
                <w:sz w:val="21"/>
                <w:szCs w:val="21"/>
                <w:highlight w:val="none"/>
              </w:rPr>
              <w:t>并加盖投标人公章</w:t>
            </w:r>
            <w:r>
              <w:rPr>
                <w:rFonts w:hint="eastAsia" w:asciiTheme="minorEastAsia" w:hAnsiTheme="minorEastAsia" w:eastAsiaTheme="minorEastAsia" w:cstheme="minorEastAsia"/>
                <w:color w:val="auto"/>
                <w:sz w:val="21"/>
                <w:szCs w:val="21"/>
                <w:highlight w:val="none"/>
                <w:lang w:eastAsia="zh-CN"/>
              </w:rPr>
              <w:t>】；</w:t>
            </w:r>
          </w:p>
        </w:tc>
      </w:tr>
      <w:tr w14:paraId="32C8E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99" w:type="dxa"/>
            <w:vMerge w:val="continue"/>
            <w:tcBorders>
              <w:left w:val="single" w:color="auto" w:sz="4" w:space="0"/>
              <w:right w:val="single" w:color="auto" w:sz="4" w:space="0"/>
              <w:tl2br w:val="nil"/>
              <w:tr2bl w:val="nil"/>
            </w:tcBorders>
            <w:vAlign w:val="center"/>
          </w:tcPr>
          <w:p w14:paraId="22A8390C">
            <w:pPr>
              <w:pageBreakBefore w:val="0"/>
              <w:tabs>
                <w:tab w:val="left" w:pos="176"/>
                <w:tab w:val="left" w:pos="420"/>
                <w:tab w:val="left" w:pos="612"/>
              </w:tabs>
              <w:kinsoku/>
              <w:wordWrap/>
              <w:topLinePunct w:val="0"/>
              <w:autoSpaceDE/>
              <w:autoSpaceDN/>
              <w:bidi w:val="0"/>
              <w:adjustRightInd w:val="0"/>
              <w:snapToGrid/>
              <w:spacing w:line="240" w:lineRule="auto"/>
              <w:jc w:val="center"/>
              <w:rPr>
                <w:rFonts w:ascii="宋体" w:hAnsi="宋体" w:cs="宋体"/>
                <w:color w:val="auto"/>
                <w:szCs w:val="21"/>
                <w:highlight w:val="none"/>
              </w:rPr>
            </w:pPr>
          </w:p>
        </w:tc>
        <w:tc>
          <w:tcPr>
            <w:tcW w:w="8942" w:type="dxa"/>
            <w:tcBorders>
              <w:top w:val="single" w:color="auto" w:sz="4" w:space="0"/>
              <w:left w:val="single" w:color="auto" w:sz="4" w:space="0"/>
              <w:bottom w:val="single" w:color="auto" w:sz="4" w:space="0"/>
              <w:right w:val="single" w:color="auto" w:sz="4" w:space="0"/>
              <w:tl2br w:val="nil"/>
              <w:tr2bl w:val="nil"/>
            </w:tcBorders>
            <w:vAlign w:val="center"/>
          </w:tcPr>
          <w:p w14:paraId="08E8D0F2">
            <w:pPr>
              <w:pageBreakBefore w:val="0"/>
              <w:tabs>
                <w:tab w:val="left" w:pos="612"/>
              </w:tabs>
              <w:kinsoku/>
              <w:wordWrap/>
              <w:topLinePunct w:val="0"/>
              <w:autoSpaceDE/>
              <w:autoSpaceDN/>
              <w:bidi w:val="0"/>
              <w:adjustRightInd w:val="0"/>
              <w:snapToGrid/>
              <w:spacing w:line="24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lang w:eastAsia="zh-CN"/>
              </w:rPr>
              <w:t>）</w:t>
            </w:r>
            <w:r>
              <w:rPr>
                <w:rFonts w:hint="eastAsia" w:ascii="宋体" w:hAnsi="宋体" w:cs="宋体"/>
                <w:color w:val="auto"/>
                <w:szCs w:val="21"/>
                <w:highlight w:val="none"/>
              </w:rPr>
              <w:t>符合投标人资格要求中其他要求（如有）。（提供《附件</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.相关资质证明文件》中对应证明文件。）</w:t>
            </w:r>
            <w:r>
              <w:rPr>
                <w:rFonts w:hint="eastAsia" w:ascii="宋体" w:hAnsi="宋体" w:cs="宋体"/>
                <w:color w:val="auto"/>
                <w:szCs w:val="21"/>
                <w:highlight w:val="none"/>
                <w:lang w:eastAsia="zh-CN"/>
              </w:rPr>
              <w:t>；</w:t>
            </w:r>
          </w:p>
        </w:tc>
      </w:tr>
      <w:tr w14:paraId="380B1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9" w:type="dxa"/>
            <w:vMerge w:val="continue"/>
            <w:tcBorders>
              <w:left w:val="single" w:color="auto" w:sz="4" w:space="0"/>
              <w:bottom w:val="single" w:color="auto" w:sz="4" w:space="0"/>
              <w:right w:val="single" w:color="auto" w:sz="4" w:space="0"/>
              <w:tl2br w:val="nil"/>
              <w:tr2bl w:val="nil"/>
            </w:tcBorders>
            <w:vAlign w:val="center"/>
          </w:tcPr>
          <w:p w14:paraId="401477F0">
            <w:pPr>
              <w:pageBreakBefore w:val="0"/>
              <w:tabs>
                <w:tab w:val="left" w:pos="176"/>
                <w:tab w:val="left" w:pos="420"/>
                <w:tab w:val="left" w:pos="612"/>
              </w:tabs>
              <w:kinsoku/>
              <w:wordWrap/>
              <w:topLinePunct w:val="0"/>
              <w:autoSpaceDE/>
              <w:autoSpaceDN/>
              <w:bidi w:val="0"/>
              <w:adjustRightInd w:val="0"/>
              <w:snapToGrid/>
              <w:spacing w:line="240" w:lineRule="auto"/>
              <w:jc w:val="center"/>
              <w:rPr>
                <w:rFonts w:ascii="宋体" w:hAnsi="宋体" w:cs="宋体"/>
                <w:color w:val="auto"/>
                <w:szCs w:val="21"/>
                <w:highlight w:val="none"/>
              </w:rPr>
            </w:pPr>
          </w:p>
        </w:tc>
        <w:tc>
          <w:tcPr>
            <w:tcW w:w="8942" w:type="dxa"/>
            <w:tcBorders>
              <w:top w:val="single" w:color="auto" w:sz="4" w:space="0"/>
              <w:left w:val="single" w:color="auto" w:sz="4" w:space="0"/>
              <w:bottom w:val="single" w:color="auto" w:sz="4" w:space="0"/>
              <w:right w:val="single" w:color="auto" w:sz="4" w:space="0"/>
              <w:tl2br w:val="nil"/>
              <w:tr2bl w:val="nil"/>
            </w:tcBorders>
            <w:vAlign w:val="center"/>
          </w:tcPr>
          <w:p w14:paraId="45534005">
            <w:pPr>
              <w:pageBreakBefore w:val="0"/>
              <w:tabs>
                <w:tab w:val="left" w:pos="612"/>
              </w:tabs>
              <w:kinsoku/>
              <w:wordWrap/>
              <w:topLinePunct w:val="0"/>
              <w:autoSpaceDE/>
              <w:autoSpaceDN/>
              <w:bidi w:val="0"/>
              <w:adjustRightInd w:val="0"/>
              <w:snapToGrid/>
              <w:spacing w:line="240" w:lineRule="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本项目不接受联合体投标。</w:t>
            </w:r>
          </w:p>
        </w:tc>
      </w:tr>
      <w:tr w14:paraId="46F5C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9" w:type="dxa"/>
            <w:tcBorders>
              <w:top w:val="single" w:color="auto" w:sz="4" w:space="0"/>
              <w:left w:val="single" w:color="auto" w:sz="4" w:space="0"/>
              <w:bottom w:val="single" w:color="auto" w:sz="4" w:space="0"/>
              <w:right w:val="single" w:color="auto" w:sz="4" w:space="0"/>
              <w:tl2br w:val="nil"/>
              <w:tr2bl w:val="nil"/>
            </w:tcBorders>
            <w:vAlign w:val="center"/>
          </w:tcPr>
          <w:p w14:paraId="6655FCDC">
            <w:pPr>
              <w:pageBreakBefore w:val="0"/>
              <w:numPr>
                <w:ilvl w:val="0"/>
                <w:numId w:val="5"/>
              </w:numPr>
              <w:tabs>
                <w:tab w:val="left" w:pos="176"/>
                <w:tab w:val="left" w:pos="612"/>
              </w:tabs>
              <w:kinsoku/>
              <w:wordWrap/>
              <w:topLinePunct w:val="0"/>
              <w:autoSpaceDE/>
              <w:autoSpaceDN/>
              <w:bidi w:val="0"/>
              <w:adjustRightInd w:val="0"/>
              <w:snapToGrid/>
              <w:spacing w:line="240" w:lineRule="auto"/>
              <w:jc w:val="center"/>
              <w:rPr>
                <w:rFonts w:ascii="宋体" w:hAnsi="宋体" w:cs="宋体"/>
                <w:color w:val="auto"/>
                <w:szCs w:val="21"/>
                <w:highlight w:val="none"/>
              </w:rPr>
            </w:pPr>
          </w:p>
        </w:tc>
        <w:tc>
          <w:tcPr>
            <w:tcW w:w="8942" w:type="dxa"/>
            <w:tcBorders>
              <w:top w:val="single" w:color="auto" w:sz="4" w:space="0"/>
              <w:left w:val="single" w:color="auto" w:sz="4" w:space="0"/>
              <w:bottom w:val="single" w:color="auto" w:sz="4" w:space="0"/>
              <w:right w:val="single" w:color="auto" w:sz="4" w:space="0"/>
              <w:tl2br w:val="nil"/>
              <w:tr2bl w:val="nil"/>
            </w:tcBorders>
            <w:vAlign w:val="center"/>
          </w:tcPr>
          <w:p w14:paraId="3831A4E3">
            <w:pPr>
              <w:pageBreakBefore w:val="0"/>
              <w:kinsoku/>
              <w:wordWrap/>
              <w:topLinePunct w:val="0"/>
              <w:autoSpaceDE/>
              <w:autoSpaceDN/>
              <w:bidi w:val="0"/>
              <w:adjustRightInd w:val="0"/>
              <w:snapToGrid/>
              <w:spacing w:line="240" w:lineRule="auto"/>
              <w:textAlignment w:val="center"/>
              <w:rPr>
                <w:rFonts w:ascii="宋体" w:hAnsi="宋体" w:cs="宋体"/>
                <w:color w:val="auto"/>
                <w:szCs w:val="21"/>
                <w:highlight w:val="none"/>
                <w:lang w:bidi="ar"/>
              </w:rPr>
            </w:pPr>
            <w:r>
              <w:rPr>
                <w:rFonts w:hint="eastAsia" w:ascii="宋体" w:hAnsi="宋体" w:cs="宋体"/>
                <w:color w:val="auto"/>
                <w:szCs w:val="21"/>
                <w:highlight w:val="none"/>
                <w:lang w:bidi="ar"/>
              </w:rPr>
              <w:t>投标人按照采购文件要求提交投标保证金；</w:t>
            </w:r>
          </w:p>
        </w:tc>
      </w:tr>
      <w:tr w14:paraId="2AD4C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9" w:type="dxa"/>
            <w:tcBorders>
              <w:top w:val="single" w:color="auto" w:sz="4" w:space="0"/>
              <w:left w:val="single" w:color="auto" w:sz="4" w:space="0"/>
              <w:bottom w:val="single" w:color="auto" w:sz="4" w:space="0"/>
              <w:right w:val="single" w:color="auto" w:sz="4" w:space="0"/>
              <w:tl2br w:val="nil"/>
              <w:tr2bl w:val="nil"/>
            </w:tcBorders>
            <w:vAlign w:val="center"/>
          </w:tcPr>
          <w:p w14:paraId="42D85734">
            <w:pPr>
              <w:pageBreakBefore w:val="0"/>
              <w:numPr>
                <w:ilvl w:val="0"/>
                <w:numId w:val="5"/>
              </w:numPr>
              <w:tabs>
                <w:tab w:val="left" w:pos="176"/>
                <w:tab w:val="left" w:pos="612"/>
              </w:tabs>
              <w:kinsoku/>
              <w:wordWrap/>
              <w:topLinePunct w:val="0"/>
              <w:autoSpaceDE/>
              <w:autoSpaceDN/>
              <w:bidi w:val="0"/>
              <w:adjustRightInd w:val="0"/>
              <w:snapToGrid/>
              <w:spacing w:line="240" w:lineRule="auto"/>
              <w:jc w:val="center"/>
              <w:rPr>
                <w:rFonts w:ascii="宋体" w:hAnsi="宋体" w:cs="宋体"/>
                <w:color w:val="auto"/>
                <w:szCs w:val="21"/>
                <w:highlight w:val="none"/>
              </w:rPr>
            </w:pPr>
          </w:p>
        </w:tc>
        <w:tc>
          <w:tcPr>
            <w:tcW w:w="8942" w:type="dxa"/>
            <w:tcBorders>
              <w:top w:val="single" w:color="auto" w:sz="4" w:space="0"/>
              <w:left w:val="single" w:color="auto" w:sz="4" w:space="0"/>
              <w:bottom w:val="single" w:color="auto" w:sz="4" w:space="0"/>
              <w:right w:val="single" w:color="auto" w:sz="4" w:space="0"/>
              <w:tl2br w:val="nil"/>
              <w:tr2bl w:val="nil"/>
            </w:tcBorders>
            <w:vAlign w:val="center"/>
          </w:tcPr>
          <w:p w14:paraId="6FB0B141">
            <w:pPr>
              <w:pageBreakBefore w:val="0"/>
              <w:kinsoku/>
              <w:wordWrap/>
              <w:topLinePunct w:val="0"/>
              <w:autoSpaceDE/>
              <w:autoSpaceDN/>
              <w:bidi w:val="0"/>
              <w:adjustRightInd w:val="0"/>
              <w:snapToGrid/>
              <w:spacing w:line="240" w:lineRule="auto"/>
              <w:textAlignment w:val="center"/>
              <w:rPr>
                <w:rFonts w:ascii="宋体" w:hAnsi="宋体" w:cs="宋体"/>
                <w:color w:val="auto"/>
                <w:szCs w:val="21"/>
                <w:highlight w:val="none"/>
              </w:rPr>
            </w:pPr>
            <w:r>
              <w:rPr>
                <w:rFonts w:hint="eastAsia" w:ascii="宋体" w:hAnsi="宋体" w:cs="宋体"/>
                <w:color w:val="auto"/>
                <w:szCs w:val="21"/>
                <w:highlight w:val="none"/>
                <w:lang w:bidi="ar"/>
              </w:rPr>
              <w:t>投标文件按照采购文件要求签署盖章；</w:t>
            </w:r>
          </w:p>
        </w:tc>
      </w:tr>
      <w:tr w14:paraId="1A9EE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9" w:type="dxa"/>
            <w:tcBorders>
              <w:top w:val="single" w:color="auto" w:sz="4" w:space="0"/>
              <w:left w:val="single" w:color="auto" w:sz="4" w:space="0"/>
              <w:bottom w:val="single" w:color="auto" w:sz="4" w:space="0"/>
              <w:right w:val="single" w:color="auto" w:sz="4" w:space="0"/>
              <w:tl2br w:val="nil"/>
              <w:tr2bl w:val="nil"/>
            </w:tcBorders>
            <w:vAlign w:val="center"/>
          </w:tcPr>
          <w:p w14:paraId="214A5050">
            <w:pPr>
              <w:pageBreakBefore w:val="0"/>
              <w:numPr>
                <w:ilvl w:val="0"/>
                <w:numId w:val="5"/>
              </w:numPr>
              <w:tabs>
                <w:tab w:val="left" w:pos="176"/>
                <w:tab w:val="left" w:pos="612"/>
              </w:tabs>
              <w:kinsoku/>
              <w:wordWrap/>
              <w:topLinePunct w:val="0"/>
              <w:autoSpaceDE/>
              <w:autoSpaceDN/>
              <w:bidi w:val="0"/>
              <w:adjustRightInd w:val="0"/>
              <w:snapToGrid/>
              <w:spacing w:line="240" w:lineRule="auto"/>
              <w:jc w:val="center"/>
              <w:rPr>
                <w:rFonts w:ascii="宋体" w:hAnsi="宋体" w:cs="宋体"/>
                <w:color w:val="auto"/>
                <w:szCs w:val="21"/>
                <w:highlight w:val="none"/>
              </w:rPr>
            </w:pPr>
          </w:p>
        </w:tc>
        <w:tc>
          <w:tcPr>
            <w:tcW w:w="8942" w:type="dxa"/>
            <w:tcBorders>
              <w:top w:val="single" w:color="auto" w:sz="4" w:space="0"/>
              <w:left w:val="single" w:color="auto" w:sz="4" w:space="0"/>
              <w:bottom w:val="single" w:color="auto" w:sz="4" w:space="0"/>
              <w:right w:val="single" w:color="auto" w:sz="4" w:space="0"/>
              <w:tl2br w:val="nil"/>
              <w:tr2bl w:val="nil"/>
            </w:tcBorders>
            <w:vAlign w:val="center"/>
          </w:tcPr>
          <w:p w14:paraId="1A40CCE0">
            <w:pPr>
              <w:pageBreakBefore w:val="0"/>
              <w:kinsoku/>
              <w:wordWrap/>
              <w:topLinePunct w:val="0"/>
              <w:autoSpaceDE/>
              <w:autoSpaceDN/>
              <w:bidi w:val="0"/>
              <w:adjustRightInd w:val="0"/>
              <w:snapToGrid/>
              <w:spacing w:line="240" w:lineRule="auto"/>
              <w:textAlignment w:val="center"/>
              <w:rPr>
                <w:rFonts w:ascii="宋体" w:hAnsi="宋体" w:cs="宋体"/>
                <w:color w:val="auto"/>
                <w:szCs w:val="21"/>
                <w:highlight w:val="none"/>
              </w:rPr>
            </w:pPr>
            <w:r>
              <w:rPr>
                <w:rFonts w:hint="eastAsia" w:ascii="宋体" w:hAnsi="宋体" w:cs="宋体"/>
                <w:color w:val="auto"/>
                <w:szCs w:val="21"/>
                <w:highlight w:val="none"/>
                <w:lang w:bidi="ar"/>
              </w:rPr>
              <w:t>投标总价未超出采购预算或最高限价；</w:t>
            </w:r>
          </w:p>
        </w:tc>
      </w:tr>
      <w:tr w14:paraId="15BFD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9" w:type="dxa"/>
            <w:tcBorders>
              <w:top w:val="single" w:color="auto" w:sz="4" w:space="0"/>
              <w:left w:val="single" w:color="auto" w:sz="4" w:space="0"/>
              <w:bottom w:val="single" w:color="auto" w:sz="4" w:space="0"/>
              <w:right w:val="single" w:color="auto" w:sz="4" w:space="0"/>
              <w:tl2br w:val="nil"/>
              <w:tr2bl w:val="nil"/>
            </w:tcBorders>
            <w:vAlign w:val="center"/>
          </w:tcPr>
          <w:p w14:paraId="33FFB425">
            <w:pPr>
              <w:pageBreakBefore w:val="0"/>
              <w:numPr>
                <w:ilvl w:val="0"/>
                <w:numId w:val="5"/>
              </w:numPr>
              <w:tabs>
                <w:tab w:val="left" w:pos="176"/>
                <w:tab w:val="left" w:pos="612"/>
              </w:tabs>
              <w:kinsoku/>
              <w:wordWrap/>
              <w:topLinePunct w:val="0"/>
              <w:autoSpaceDE/>
              <w:autoSpaceDN/>
              <w:bidi w:val="0"/>
              <w:adjustRightInd w:val="0"/>
              <w:snapToGrid/>
              <w:spacing w:line="240" w:lineRule="auto"/>
              <w:jc w:val="center"/>
              <w:rPr>
                <w:rFonts w:ascii="宋体" w:hAnsi="宋体" w:eastAsia="宋体" w:cs="宋体"/>
                <w:color w:val="auto"/>
                <w:szCs w:val="21"/>
                <w:highlight w:val="none"/>
              </w:rPr>
            </w:pPr>
          </w:p>
        </w:tc>
        <w:tc>
          <w:tcPr>
            <w:tcW w:w="8942" w:type="dxa"/>
            <w:tcBorders>
              <w:top w:val="single" w:color="auto" w:sz="4" w:space="0"/>
              <w:left w:val="single" w:color="auto" w:sz="4" w:space="0"/>
              <w:bottom w:val="single" w:color="auto" w:sz="4" w:space="0"/>
              <w:right w:val="single" w:color="auto" w:sz="4" w:space="0"/>
              <w:tl2br w:val="nil"/>
              <w:tr2bl w:val="nil"/>
            </w:tcBorders>
            <w:vAlign w:val="center"/>
          </w:tcPr>
          <w:p w14:paraId="4E0081AE">
            <w:pPr>
              <w:pageBreakBefore w:val="0"/>
              <w:kinsoku/>
              <w:wordWrap/>
              <w:topLinePunct w:val="0"/>
              <w:autoSpaceDE/>
              <w:autoSpaceDN/>
              <w:bidi w:val="0"/>
              <w:adjustRightInd w:val="0"/>
              <w:snapToGrid/>
              <w:spacing w:line="240" w:lineRule="auto"/>
              <w:textAlignment w:val="center"/>
              <w:rPr>
                <w:rFonts w:ascii="宋体" w:hAnsi="宋体" w:cs="宋体"/>
                <w:color w:val="auto"/>
                <w:szCs w:val="21"/>
                <w:highlight w:val="none"/>
                <w:lang w:bidi="ar"/>
              </w:rPr>
            </w:pPr>
            <w:r>
              <w:rPr>
                <w:rFonts w:hint="eastAsia" w:ascii="宋体" w:hAnsi="宋体" w:cs="宋体"/>
                <w:color w:val="auto"/>
                <w:szCs w:val="21"/>
                <w:highlight w:val="none"/>
                <w:lang w:bidi="ar"/>
              </w:rPr>
              <w:t>投标文件未含有采购人不能接受的附加条件；</w:t>
            </w:r>
          </w:p>
        </w:tc>
      </w:tr>
      <w:tr w14:paraId="47B49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9" w:type="dxa"/>
            <w:tcBorders>
              <w:top w:val="single" w:color="auto" w:sz="4" w:space="0"/>
              <w:left w:val="single" w:color="auto" w:sz="4" w:space="0"/>
              <w:bottom w:val="single" w:color="auto" w:sz="4" w:space="0"/>
              <w:right w:val="single" w:color="auto" w:sz="4" w:space="0"/>
              <w:tl2br w:val="nil"/>
              <w:tr2bl w:val="nil"/>
            </w:tcBorders>
            <w:vAlign w:val="center"/>
          </w:tcPr>
          <w:p w14:paraId="036CCD1F">
            <w:pPr>
              <w:pageBreakBefore w:val="0"/>
              <w:numPr>
                <w:ilvl w:val="0"/>
                <w:numId w:val="5"/>
              </w:numPr>
              <w:tabs>
                <w:tab w:val="left" w:pos="176"/>
                <w:tab w:val="left" w:pos="612"/>
              </w:tabs>
              <w:kinsoku/>
              <w:wordWrap/>
              <w:topLinePunct w:val="0"/>
              <w:autoSpaceDE/>
              <w:autoSpaceDN/>
              <w:bidi w:val="0"/>
              <w:adjustRightInd w:val="0"/>
              <w:snapToGrid/>
              <w:spacing w:line="240" w:lineRule="auto"/>
              <w:jc w:val="center"/>
              <w:rPr>
                <w:rFonts w:ascii="宋体" w:hAnsi="宋体" w:eastAsia="宋体" w:cs="宋体"/>
                <w:color w:val="auto"/>
                <w:szCs w:val="21"/>
                <w:highlight w:val="none"/>
              </w:rPr>
            </w:pPr>
          </w:p>
        </w:tc>
        <w:tc>
          <w:tcPr>
            <w:tcW w:w="8942" w:type="dxa"/>
            <w:tcBorders>
              <w:top w:val="single" w:color="auto" w:sz="4" w:space="0"/>
              <w:left w:val="single" w:color="auto" w:sz="4" w:space="0"/>
              <w:bottom w:val="single" w:color="auto" w:sz="4" w:space="0"/>
              <w:right w:val="single" w:color="auto" w:sz="4" w:space="0"/>
              <w:tl2br w:val="nil"/>
              <w:tr2bl w:val="nil"/>
            </w:tcBorders>
            <w:vAlign w:val="center"/>
          </w:tcPr>
          <w:p w14:paraId="327BFB14">
            <w:pPr>
              <w:pageBreakBefore w:val="0"/>
              <w:kinsoku/>
              <w:wordWrap/>
              <w:topLinePunct w:val="0"/>
              <w:autoSpaceDE/>
              <w:autoSpaceDN/>
              <w:bidi w:val="0"/>
              <w:adjustRightInd w:val="0"/>
              <w:snapToGrid/>
              <w:spacing w:line="240" w:lineRule="auto"/>
              <w:textAlignment w:val="center"/>
              <w:rPr>
                <w:rFonts w:ascii="宋体" w:hAnsi="宋体" w:cs="宋体"/>
                <w:color w:val="auto"/>
                <w:szCs w:val="21"/>
                <w:highlight w:val="none"/>
              </w:rPr>
            </w:pPr>
            <w:r>
              <w:rPr>
                <w:rFonts w:hint="eastAsia" w:ascii="宋体" w:hAnsi="宋体" w:cs="宋体"/>
                <w:color w:val="auto"/>
                <w:szCs w:val="21"/>
                <w:highlight w:val="none"/>
                <w:lang w:bidi="ar"/>
              </w:rPr>
              <w:t>无负偏离标注“★”符号的条款。</w:t>
            </w:r>
          </w:p>
        </w:tc>
      </w:tr>
      <w:tr w14:paraId="2818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9" w:type="dxa"/>
            <w:tcBorders>
              <w:top w:val="single" w:color="auto" w:sz="4" w:space="0"/>
              <w:left w:val="single" w:color="auto" w:sz="4" w:space="0"/>
              <w:bottom w:val="single" w:color="auto" w:sz="4" w:space="0"/>
              <w:right w:val="single" w:color="auto" w:sz="4" w:space="0"/>
              <w:tl2br w:val="nil"/>
              <w:tr2bl w:val="nil"/>
            </w:tcBorders>
            <w:vAlign w:val="center"/>
          </w:tcPr>
          <w:p w14:paraId="485E71A7">
            <w:pPr>
              <w:pageBreakBefore w:val="0"/>
              <w:numPr>
                <w:ilvl w:val="0"/>
                <w:numId w:val="5"/>
              </w:numPr>
              <w:tabs>
                <w:tab w:val="left" w:pos="176"/>
                <w:tab w:val="left" w:pos="612"/>
              </w:tabs>
              <w:kinsoku/>
              <w:wordWrap/>
              <w:topLinePunct w:val="0"/>
              <w:autoSpaceDE/>
              <w:autoSpaceDN/>
              <w:bidi w:val="0"/>
              <w:adjustRightInd w:val="0"/>
              <w:snapToGrid/>
              <w:spacing w:line="240" w:lineRule="auto"/>
              <w:jc w:val="center"/>
              <w:rPr>
                <w:rFonts w:ascii="宋体" w:hAnsi="宋体" w:eastAsia="宋体" w:cs="宋体"/>
                <w:color w:val="auto"/>
                <w:szCs w:val="21"/>
                <w:highlight w:val="none"/>
              </w:rPr>
            </w:pPr>
          </w:p>
        </w:tc>
        <w:tc>
          <w:tcPr>
            <w:tcW w:w="8942" w:type="dxa"/>
            <w:tcBorders>
              <w:top w:val="single" w:color="auto" w:sz="4" w:space="0"/>
              <w:left w:val="single" w:color="auto" w:sz="4" w:space="0"/>
              <w:bottom w:val="single" w:color="auto" w:sz="4" w:space="0"/>
              <w:right w:val="single" w:color="auto" w:sz="4" w:space="0"/>
              <w:tl2br w:val="nil"/>
              <w:tr2bl w:val="nil"/>
            </w:tcBorders>
            <w:vAlign w:val="center"/>
          </w:tcPr>
          <w:p w14:paraId="50C64472">
            <w:pPr>
              <w:pageBreakBefore w:val="0"/>
              <w:kinsoku/>
              <w:wordWrap/>
              <w:topLinePunct w:val="0"/>
              <w:autoSpaceDE/>
              <w:autoSpaceDN/>
              <w:bidi w:val="0"/>
              <w:adjustRightInd w:val="0"/>
              <w:snapToGrid/>
              <w:spacing w:line="240" w:lineRule="auto"/>
              <w:textAlignment w:val="center"/>
              <w:rPr>
                <w:rFonts w:ascii="宋体" w:hAnsi="宋体" w:cs="宋体"/>
                <w:color w:val="auto"/>
                <w:szCs w:val="21"/>
                <w:highlight w:val="none"/>
                <w:lang w:bidi="ar"/>
              </w:rPr>
            </w:pPr>
            <w:r>
              <w:rPr>
                <w:rFonts w:hint="eastAsia" w:ascii="宋体" w:hAnsi="宋体" w:cs="宋体"/>
                <w:color w:val="auto"/>
                <w:szCs w:val="21"/>
                <w:highlight w:val="none"/>
              </w:rPr>
              <w:t>未出现</w:t>
            </w:r>
            <w:r>
              <w:rPr>
                <w:rFonts w:hint="eastAsia" w:ascii="宋体" w:hAnsi="宋体" w:cs="宋体"/>
                <w:color w:val="auto"/>
                <w:szCs w:val="21"/>
                <w:highlight w:val="none"/>
                <w:lang w:bidi="ar"/>
              </w:rPr>
              <w:t>法律、法规和</w:t>
            </w:r>
            <w:r>
              <w:rPr>
                <w:rFonts w:hint="eastAsia" w:ascii="宋体" w:hAnsi="宋体" w:cs="宋体"/>
                <w:color w:val="auto"/>
                <w:szCs w:val="21"/>
                <w:highlight w:val="none"/>
                <w:lang w:val="en-US" w:eastAsia="zh-CN" w:bidi="ar"/>
              </w:rPr>
              <w:t>采购</w:t>
            </w:r>
            <w:r>
              <w:rPr>
                <w:rFonts w:hint="eastAsia" w:ascii="宋体" w:hAnsi="宋体" w:cs="宋体"/>
                <w:color w:val="auto"/>
                <w:szCs w:val="21"/>
                <w:highlight w:val="none"/>
                <w:lang w:bidi="ar"/>
              </w:rPr>
              <w:t>文件规定的其他无效情形。</w:t>
            </w:r>
          </w:p>
        </w:tc>
      </w:tr>
    </w:tbl>
    <w:p w14:paraId="081439CD">
      <w:pPr>
        <w:pageBreakBefore w:val="0"/>
        <w:widowControl w:val="0"/>
        <w:kinsoku/>
        <w:wordWrap/>
        <w:overflowPunct w:val="0"/>
        <w:topLinePunct w:val="0"/>
        <w:autoSpaceDE/>
        <w:autoSpaceDN/>
        <w:bidi w:val="0"/>
        <w:adjustRightInd w:val="0"/>
        <w:snapToGrid/>
        <w:spacing w:before="181" w:beforeLines="50"/>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以上资格性、符合性审查中带有不合格分项的投标文件，将作无效标处理。经评标委员会确认的无效投标文件，采购人和采购代理机构将予以拒绝，并且不允许通过修正或撤消其不符合要求的差异，使之成为具有符合性的投标文件。经评标委员会资格性、符合性审查确认具有有效投标文件的投标人不足三家时将重新组织采购</w:t>
      </w:r>
      <w:r>
        <w:rPr>
          <w:rFonts w:hint="eastAsia" w:ascii="宋体" w:hAnsi="宋体"/>
          <w:color w:val="auto"/>
          <w:szCs w:val="21"/>
          <w:highlight w:val="none"/>
          <w:lang w:eastAsia="zh-CN"/>
        </w:rPr>
        <w:t>。</w:t>
      </w:r>
    </w:p>
    <w:p w14:paraId="3C6C741A">
      <w:pPr>
        <w:pageBreakBefore w:val="0"/>
        <w:widowControl w:val="0"/>
        <w:numPr>
          <w:ilvl w:val="1"/>
          <w:numId w:val="2"/>
        </w:numPr>
        <w:kinsoku/>
        <w:wordWrap/>
        <w:overflowPunct w:val="0"/>
        <w:topLinePunct w:val="0"/>
        <w:autoSpaceDE/>
        <w:autoSpaceDN/>
        <w:bidi w:val="0"/>
        <w:adjustRightInd w:val="0"/>
        <w:snapToGrid w:val="0"/>
        <w:rPr>
          <w:rFonts w:ascii="宋体" w:hAnsi="宋体" w:cs="宋体"/>
          <w:b/>
          <w:bCs/>
          <w:color w:val="auto"/>
          <w:szCs w:val="21"/>
          <w:highlight w:val="none"/>
        </w:rPr>
      </w:pPr>
      <w:r>
        <w:rPr>
          <w:rFonts w:hint="eastAsia" w:ascii="宋体" w:hAnsi="宋体" w:cs="宋体"/>
          <w:b/>
          <w:bCs/>
          <w:color w:val="auto"/>
          <w:szCs w:val="21"/>
          <w:highlight w:val="none"/>
        </w:rPr>
        <w:t>投标文件报价出现前后不一致的，评标委员会按照下列规定修正：</w:t>
      </w:r>
    </w:p>
    <w:p w14:paraId="4A6B4AA6">
      <w:pPr>
        <w:pageBreakBefore w:val="0"/>
        <w:widowControl w:val="0"/>
        <w:numPr>
          <w:ilvl w:val="0"/>
          <w:numId w:val="6"/>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投标文件中开标一览表（报价表）内容与投标文件中相应内容不一致的，以开标一览表（报价表）为准；</w:t>
      </w:r>
    </w:p>
    <w:p w14:paraId="721BAF2A">
      <w:pPr>
        <w:pageBreakBefore w:val="0"/>
        <w:widowControl w:val="0"/>
        <w:numPr>
          <w:ilvl w:val="0"/>
          <w:numId w:val="6"/>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大写金额和小写金额不一致的，以大写金额为准；</w:t>
      </w:r>
    </w:p>
    <w:p w14:paraId="6EB72369">
      <w:pPr>
        <w:pageBreakBefore w:val="0"/>
        <w:widowControl w:val="0"/>
        <w:numPr>
          <w:ilvl w:val="0"/>
          <w:numId w:val="6"/>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单价金额小数点或者百分比有明显错位的，以开标一览表的总价为准，并修改单价；</w:t>
      </w:r>
    </w:p>
    <w:p w14:paraId="31DAF860">
      <w:pPr>
        <w:pageBreakBefore w:val="0"/>
        <w:widowControl w:val="0"/>
        <w:numPr>
          <w:ilvl w:val="0"/>
          <w:numId w:val="6"/>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总价金额与按单价汇总金额不一致的，以单价金额计算结果为准。</w:t>
      </w:r>
    </w:p>
    <w:p w14:paraId="221C0F0F">
      <w:pPr>
        <w:pageBreakBefore w:val="0"/>
        <w:widowControl w:val="0"/>
        <w:numPr>
          <w:ilvl w:val="0"/>
          <w:numId w:val="6"/>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同时出现两种以上不一致的，按照前款规定的顺序修正。修正后的报价按照经投标人确认后产生约束力，投标人不确认的，其投标无效。</w:t>
      </w:r>
    </w:p>
    <w:p w14:paraId="102DBC06">
      <w:pPr>
        <w:pageBreakBefore w:val="0"/>
        <w:widowControl w:val="0"/>
        <w:numPr>
          <w:ilvl w:val="1"/>
          <w:numId w:val="2"/>
        </w:numPr>
        <w:kinsoku/>
        <w:wordWrap/>
        <w:overflowPunct w:val="0"/>
        <w:topLinePunct w:val="0"/>
        <w:autoSpaceDE/>
        <w:autoSpaceDN/>
        <w:bidi w:val="0"/>
        <w:adjustRightInd w:val="0"/>
        <w:snapToGrid w:val="0"/>
        <w:ind w:left="567" w:hanging="567" w:firstLineChars="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评标委员会认为投标人的报价明显低于其他通过符合性审查投标人的报价，有可能影响产品质量或者不能诚信履约的，应当要求其在评标现场合理的时间内提供书面说明（以现场通知时间为准），必要时提交相关证明材料；投标人不能证明其报价合理性的，评标委员会应当将其作为无效投标处理。</w:t>
      </w:r>
    </w:p>
    <w:p w14:paraId="3054DCAB">
      <w:pPr>
        <w:pageBreakBefore w:val="0"/>
        <w:widowControl w:val="0"/>
        <w:numPr>
          <w:ilvl w:val="1"/>
          <w:numId w:val="2"/>
        </w:numPr>
        <w:kinsoku/>
        <w:wordWrap/>
        <w:overflowPunct w:val="0"/>
        <w:topLinePunct w:val="0"/>
        <w:autoSpaceDE/>
        <w:autoSpaceDN/>
        <w:bidi w:val="0"/>
        <w:adjustRightInd w:val="0"/>
        <w:snapToGrid w:val="0"/>
        <w:ind w:left="567" w:hanging="567" w:firstLineChars="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对于投标文件中不构成实质性偏差的不正规、不一致或不规则，评标委员会可以接受，但这种接受不能损害或影响任何投标人的相对排序。</w:t>
      </w:r>
    </w:p>
    <w:p w14:paraId="1298882F">
      <w:pPr>
        <w:pageBreakBefore w:val="0"/>
        <w:widowControl w:val="0"/>
        <w:numPr>
          <w:ilvl w:val="1"/>
          <w:numId w:val="2"/>
        </w:numPr>
        <w:kinsoku/>
        <w:wordWrap/>
        <w:overflowPunct w:val="0"/>
        <w:topLinePunct w:val="0"/>
        <w:autoSpaceDE/>
        <w:autoSpaceDN/>
        <w:bidi w:val="0"/>
        <w:adjustRightInd w:val="0"/>
        <w:snapToGrid w:val="0"/>
        <w:ind w:left="567" w:hanging="567" w:firstLineChars="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在详细评标之前，评标委员会要审查每份投标文件是否实质上响应了采购文件的要求。实质上响应的投标应该是与采购文件要求的全部主要条款（加“★”号）、条件和规格相符，没有重大偏离的投标。对关键条文的偏离、保留或反对，例如关于投标保证金、合同条款的重大偏离将被认为是实质上的偏离。评标委员会决定投标文件的响应性只根据投标文件本身的内容，而不寻求外部的证据。</w:t>
      </w:r>
    </w:p>
    <w:p w14:paraId="2650FDC8">
      <w:pPr>
        <w:pStyle w:val="2"/>
        <w:pageBreakBefore w:val="0"/>
        <w:kinsoku/>
        <w:wordWrap/>
        <w:topLinePunct w:val="0"/>
        <w:autoSpaceDE/>
        <w:autoSpaceDN/>
        <w:bidi w:val="0"/>
        <w:adjustRightInd w:val="0"/>
        <w:snapToGrid w:val="0"/>
        <w:spacing w:before="0"/>
        <w:rPr>
          <w:color w:val="auto"/>
          <w:highlight w:val="none"/>
        </w:rPr>
      </w:pPr>
    </w:p>
    <w:p w14:paraId="212C6729">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127" w:name="_Toc4799"/>
      <w:bookmarkStart w:id="128" w:name="_Toc21738"/>
      <w:bookmarkStart w:id="129" w:name="_Toc11415"/>
      <w:r>
        <w:rPr>
          <w:rFonts w:hint="eastAsia" w:ascii="宋体" w:hAnsi="宋体" w:cs="宋体"/>
          <w:color w:val="auto"/>
          <w:sz w:val="21"/>
          <w:szCs w:val="21"/>
          <w:highlight w:val="none"/>
        </w:rPr>
        <w:t>商务、技术、价格评审（具体评审项目详见投标资料表）</w:t>
      </w:r>
      <w:bookmarkEnd w:id="127"/>
      <w:bookmarkEnd w:id="128"/>
      <w:bookmarkEnd w:id="129"/>
    </w:p>
    <w:p w14:paraId="4406441E">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对通过资格性、符合性审查的有效</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方有资格进入综合评审。采购文件中要求投标人提供的相关资质证书证明材料因国家政策变动导致新旧证书名称不一致，旧证书未取消且新旧证书具有同等效力的，投标人提供新证书与提供在有效期内的旧证书给予同等认可。</w:t>
      </w:r>
    </w:p>
    <w:p w14:paraId="2D583AE4">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评标委员会对通过资格性、符合性审查的投标文件进行详细评审。评标委员会对每一投标文件进行详细的商务评审、技术评审。按照评审程序的规定和依据评分标准，各位评委就每个投标人的技术、商务状况及其对采购文件要求的响应情况进行评议和比较，评出其技术评分和商务评分。根据采购文件规定评出得分，将价格得分、商务得分、技术得分相加得出最终评标得分。</w:t>
      </w:r>
    </w:p>
    <w:p w14:paraId="4EF49146">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采用综合评分法的，评标结果按评审后得分由高到低顺序排列。综合得分相同的，按价格评分由高到低顺序排列。综合</w:t>
      </w:r>
      <w:r>
        <w:rPr>
          <w:rFonts w:hint="eastAsia" w:ascii="宋体" w:hAnsi="宋体"/>
          <w:color w:val="auto"/>
          <w:szCs w:val="21"/>
          <w:highlight w:val="none"/>
        </w:rPr>
        <w:t>得分相同且价格评分相同的，按商务评分由高到低顺序排列，得分高的排前，得分低的排后；按上述环节依然存在同分情形而不能确认排名顺序时，由评标委员会进行投票，得票多的排名在先。当第一轮投票结果为投标人得票数相同时，再次进行投票，如此类推，直到能确定排序次序为止</w:t>
      </w:r>
      <w:r>
        <w:rPr>
          <w:rFonts w:hint="eastAsia" w:ascii="宋体" w:hAnsi="宋体" w:cs="宋体"/>
          <w:color w:val="auto"/>
          <w:szCs w:val="21"/>
          <w:highlight w:val="none"/>
        </w:rPr>
        <w:t>。</w:t>
      </w:r>
    </w:p>
    <w:p w14:paraId="31EE1EE6">
      <w:pPr>
        <w:pageBreakBefore w:val="0"/>
        <w:widowControl w:val="0"/>
        <w:tabs>
          <w:tab w:val="left" w:pos="907"/>
        </w:tabs>
        <w:kinsoku/>
        <w:wordWrap/>
        <w:topLinePunct w:val="0"/>
        <w:autoSpaceDE/>
        <w:autoSpaceDN/>
        <w:bidi w:val="0"/>
        <w:adjustRightInd w:val="0"/>
        <w:snapToGrid w:val="0"/>
        <w:ind w:left="567"/>
        <w:jc w:val="both"/>
        <w:rPr>
          <w:rFonts w:ascii="宋体" w:hAnsi="宋体" w:cs="宋体"/>
          <w:color w:val="auto"/>
          <w:szCs w:val="21"/>
          <w:highlight w:val="none"/>
        </w:rPr>
      </w:pPr>
    </w:p>
    <w:p w14:paraId="49467464">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130" w:name="_Toc316375620"/>
      <w:bookmarkStart w:id="131" w:name="_Toc382049120"/>
      <w:bookmarkStart w:id="132" w:name="_Toc20328"/>
      <w:bookmarkStart w:id="133" w:name="_Toc21663"/>
      <w:bookmarkStart w:id="134" w:name="_Toc11625"/>
      <w:bookmarkStart w:id="135" w:name="_Toc18550"/>
      <w:r>
        <w:rPr>
          <w:rFonts w:hint="eastAsia" w:ascii="宋体" w:hAnsi="宋体" w:cs="宋体"/>
          <w:color w:val="auto"/>
          <w:sz w:val="21"/>
          <w:szCs w:val="21"/>
          <w:highlight w:val="none"/>
        </w:rPr>
        <w:t>纪律和保密</w:t>
      </w:r>
      <w:bookmarkEnd w:id="130"/>
      <w:r>
        <w:rPr>
          <w:rFonts w:hint="eastAsia" w:ascii="宋体" w:hAnsi="宋体" w:cs="宋体"/>
          <w:color w:val="auto"/>
          <w:sz w:val="21"/>
          <w:szCs w:val="21"/>
          <w:highlight w:val="none"/>
        </w:rPr>
        <w:t>事项</w:t>
      </w:r>
      <w:bookmarkEnd w:id="131"/>
      <w:bookmarkEnd w:id="132"/>
      <w:bookmarkEnd w:id="133"/>
      <w:bookmarkEnd w:id="134"/>
      <w:bookmarkEnd w:id="135"/>
    </w:p>
    <w:p w14:paraId="00A78A01">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从开标之日起至授予合同期间，在投标文件的审查、澄清、比较和评价阶段，投标人试图对评标委员会和采购代理机构施加任何影响或对采购人的比较及授予合同的决定产生影响，都可能导致其投标文件被拒绝。</w:t>
      </w:r>
    </w:p>
    <w:p w14:paraId="139CF151">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投标人不得串通作弊，以不正当的手段妨碍、排挤其他投标人，扰乱采购市场，破坏公平竞争原则。否则将按相关法律规定严肃处理。</w:t>
      </w:r>
    </w:p>
    <w:p w14:paraId="4FABAB2E">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获得本采购文件的投标人，应对文件进行保密，不得用作本次投标以外的任何用途。开标后，投标人应归还采购文件中要求保密的文件和资料。</w:t>
      </w:r>
    </w:p>
    <w:p w14:paraId="4958D0C9">
      <w:pPr>
        <w:pageBreakBefore w:val="0"/>
        <w:kinsoku/>
        <w:wordWrap/>
        <w:topLinePunct w:val="0"/>
        <w:autoSpaceDE/>
        <w:autoSpaceDN/>
        <w:bidi w:val="0"/>
        <w:adjustRightInd w:val="0"/>
        <w:snapToGrid w:val="0"/>
        <w:rPr>
          <w:rFonts w:ascii="宋体" w:hAnsi="宋体" w:cs="宋体"/>
          <w:color w:val="auto"/>
          <w:highlight w:val="none"/>
        </w:rPr>
      </w:pPr>
    </w:p>
    <w:p w14:paraId="639C71DC">
      <w:pPr>
        <w:pStyle w:val="7"/>
        <w:pageBreakBefore w:val="0"/>
        <w:numPr>
          <w:ilvl w:val="0"/>
          <w:numId w:val="1"/>
        </w:numPr>
        <w:kinsoku/>
        <w:wordWrap/>
        <w:topLinePunct w:val="0"/>
        <w:autoSpaceDE/>
        <w:autoSpaceDN/>
        <w:bidi w:val="0"/>
        <w:adjustRightInd w:val="0"/>
        <w:snapToGrid w:val="0"/>
        <w:spacing w:before="0" w:after="0" w:line="360" w:lineRule="auto"/>
        <w:jc w:val="center"/>
        <w:rPr>
          <w:rFonts w:ascii="宋体" w:hAnsi="宋体" w:cs="宋体"/>
          <w:color w:val="auto"/>
          <w:highlight w:val="none"/>
        </w:rPr>
      </w:pPr>
      <w:bookmarkStart w:id="136" w:name="_Toc27738"/>
      <w:bookmarkStart w:id="137" w:name="_Toc18790"/>
      <w:bookmarkStart w:id="138" w:name="_Toc1109"/>
      <w:r>
        <w:rPr>
          <w:rFonts w:hint="eastAsia" w:ascii="宋体" w:hAnsi="宋体" w:cs="宋体"/>
          <w:color w:val="auto"/>
          <w:highlight w:val="none"/>
        </w:rPr>
        <w:t>授予合同</w:t>
      </w:r>
      <w:bookmarkEnd w:id="136"/>
      <w:bookmarkEnd w:id="137"/>
      <w:bookmarkEnd w:id="138"/>
    </w:p>
    <w:p w14:paraId="615EDF95">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139" w:name="_Toc22623"/>
      <w:bookmarkStart w:id="140" w:name="_Toc508284011"/>
      <w:bookmarkStart w:id="141" w:name="_Toc16090"/>
      <w:bookmarkStart w:id="142" w:name="_Toc21231"/>
      <w:r>
        <w:rPr>
          <w:rFonts w:hint="eastAsia" w:ascii="宋体" w:hAnsi="宋体" w:cs="宋体"/>
          <w:color w:val="auto"/>
          <w:sz w:val="21"/>
          <w:szCs w:val="21"/>
          <w:highlight w:val="none"/>
        </w:rPr>
        <w:t>合同授予标准</w:t>
      </w:r>
      <w:bookmarkEnd w:id="139"/>
      <w:bookmarkEnd w:id="140"/>
      <w:bookmarkEnd w:id="141"/>
      <w:bookmarkEnd w:id="142"/>
    </w:p>
    <w:p w14:paraId="31A1E442">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根据评标委员会的评审结果，采购人按照评审报告推荐的中标候选人中按顺序依法确定中标人。</w:t>
      </w:r>
    </w:p>
    <w:p w14:paraId="17052355">
      <w:pPr>
        <w:pageBreakBefore w:val="0"/>
        <w:kinsoku/>
        <w:wordWrap/>
        <w:topLinePunct w:val="0"/>
        <w:autoSpaceDE/>
        <w:autoSpaceDN/>
        <w:bidi w:val="0"/>
        <w:adjustRightInd w:val="0"/>
        <w:snapToGrid w:val="0"/>
        <w:rPr>
          <w:rFonts w:ascii="宋体" w:hAnsi="宋体" w:cs="宋体"/>
          <w:color w:val="auto"/>
          <w:highlight w:val="none"/>
        </w:rPr>
      </w:pPr>
    </w:p>
    <w:p w14:paraId="360006B1">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143" w:name="_Toc508284013"/>
      <w:bookmarkStart w:id="144" w:name="_Toc29701"/>
      <w:bookmarkStart w:id="145" w:name="_Toc24261"/>
      <w:bookmarkStart w:id="146" w:name="_Toc10545"/>
      <w:r>
        <w:rPr>
          <w:rFonts w:hint="eastAsia" w:ascii="宋体" w:hAnsi="宋体" w:cs="宋体"/>
          <w:color w:val="auto"/>
          <w:sz w:val="21"/>
          <w:szCs w:val="21"/>
          <w:highlight w:val="none"/>
        </w:rPr>
        <w:t>发布中标结果</w:t>
      </w:r>
      <w:bookmarkEnd w:id="143"/>
      <w:bookmarkEnd w:id="144"/>
      <w:bookmarkEnd w:id="145"/>
      <w:bookmarkEnd w:id="146"/>
    </w:p>
    <w:p w14:paraId="181BD021">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评标委员会提出评标书面报告和推荐中标意见报采购人确认后，采购代理机构将在指定的信息发布媒体上发布公告。</w:t>
      </w:r>
    </w:p>
    <w:p w14:paraId="2B981880">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中标公告期限为3个日历日。</w:t>
      </w:r>
    </w:p>
    <w:p w14:paraId="173A1AB7">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《中标通知书》是合同的一个组成部分，《中标通知书》对采购人和中标人均具有同等法律效力。</w:t>
      </w:r>
    </w:p>
    <w:p w14:paraId="3D1CC92E">
      <w:pPr>
        <w:pageBreakBefore w:val="0"/>
        <w:widowControl w:val="0"/>
        <w:tabs>
          <w:tab w:val="left" w:pos="907"/>
        </w:tabs>
        <w:kinsoku/>
        <w:wordWrap/>
        <w:topLinePunct w:val="0"/>
        <w:autoSpaceDE/>
        <w:autoSpaceDN/>
        <w:bidi w:val="0"/>
        <w:adjustRightInd w:val="0"/>
        <w:snapToGrid w:val="0"/>
        <w:jc w:val="both"/>
        <w:rPr>
          <w:rFonts w:ascii="宋体" w:hAnsi="宋体" w:cs="宋体"/>
          <w:color w:val="auto"/>
          <w:szCs w:val="21"/>
          <w:highlight w:val="none"/>
        </w:rPr>
      </w:pPr>
    </w:p>
    <w:p w14:paraId="35F4D731">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147" w:name="_Toc749"/>
      <w:bookmarkStart w:id="148" w:name="_Toc5411"/>
      <w:bookmarkStart w:id="149" w:name="_Toc11420"/>
      <w:r>
        <w:rPr>
          <w:rFonts w:hint="eastAsia" w:ascii="宋体" w:hAnsi="宋体" w:cs="宋体"/>
          <w:color w:val="auto"/>
          <w:sz w:val="21"/>
          <w:szCs w:val="21"/>
          <w:highlight w:val="none"/>
        </w:rPr>
        <w:t>资格后审</w:t>
      </w:r>
      <w:bookmarkEnd w:id="147"/>
      <w:bookmarkEnd w:id="148"/>
      <w:bookmarkEnd w:id="149"/>
    </w:p>
    <w:p w14:paraId="2F40C322">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采购人将有权根据本文件中的要求，对评委会推荐的中标候选人进行资格后审。</w:t>
      </w:r>
    </w:p>
    <w:p w14:paraId="25A3C31F">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中标候选人须无条件配合资格后审，否则采购人有权取消其中标资格，且投标保证金可不予退还。</w:t>
      </w:r>
    </w:p>
    <w:p w14:paraId="683ADA74">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资格后审须提供包括但不限于营业执照、税务登记证和在投标文件中提供的资质证明文件、业绩等重要证明文件的原件进行核对，综合考察中标人的履约能力。如采购人要求还须提供业绩证明的其他材料,中标候选人须配合提供。如授权其分支机构进行项目实施或提供售后服务的，亦应提供其与分支机构关系的法律证明材料。</w:t>
      </w:r>
    </w:p>
    <w:p w14:paraId="74170FCA">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如发现中标候选人以他人名义投标或者以其他方式弄虚作假，骗取中标的，采购人有权取消其中标资格，且投标保证金可不予退还；给采购人造成损失的，应依法承担赔偿责任。</w:t>
      </w:r>
    </w:p>
    <w:p w14:paraId="64BBA0B9">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采购人有权审查中标候选人是否具备履行合同的能力，包括但不限于对其规模、人员、场地、生产能力、供货能力等方面的核实或现场考察。如果审查通过，采购人将把合同授予该中标人；如果审查没有通过，采购人有权取消其中标资格，且投标保证金可不予退还，并依次审查下一名中标候选人是否具备履行合同的能力或重新采购。</w:t>
      </w:r>
    </w:p>
    <w:p w14:paraId="0C2DDB8D">
      <w:pPr>
        <w:pageBreakBefore w:val="0"/>
        <w:kinsoku/>
        <w:wordWrap/>
        <w:topLinePunct w:val="0"/>
        <w:autoSpaceDE/>
        <w:autoSpaceDN/>
        <w:bidi w:val="0"/>
        <w:adjustRightInd w:val="0"/>
        <w:snapToGrid w:val="0"/>
        <w:rPr>
          <w:rFonts w:ascii="宋体" w:hAnsi="宋体" w:cs="宋体"/>
          <w:color w:val="auto"/>
          <w:highlight w:val="none"/>
        </w:rPr>
      </w:pPr>
    </w:p>
    <w:p w14:paraId="2CED52A0">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150" w:name="_Toc27302"/>
      <w:bookmarkStart w:id="151" w:name="_Toc11357"/>
      <w:bookmarkStart w:id="152" w:name="_Toc27689"/>
      <w:r>
        <w:rPr>
          <w:rFonts w:hint="eastAsia" w:ascii="宋体" w:hAnsi="宋体" w:cs="宋体"/>
          <w:color w:val="auto"/>
          <w:sz w:val="21"/>
          <w:szCs w:val="21"/>
          <w:highlight w:val="none"/>
        </w:rPr>
        <w:t>合同的签订与履行</w:t>
      </w:r>
      <w:bookmarkEnd w:id="150"/>
      <w:bookmarkEnd w:id="151"/>
      <w:bookmarkEnd w:id="152"/>
    </w:p>
    <w:p w14:paraId="438768C0">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中标人应当自采购人发出中标通知书之日起30日内，按照采购文件和中标人投标文件的规定，与采购人签订书面合同，否则采购人有权取消其中标资格。所签订的合同不得对采购文件确定的事项和中标人投标文件作实质性修改。在合同签订时，应注意合同中约定的工期开始时间不得早于合同签订时间。</w:t>
      </w:r>
    </w:p>
    <w:p w14:paraId="7F5A264F">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采购人与中标人应当根据合同的约定依法履行合同义务。</w:t>
      </w:r>
    </w:p>
    <w:p w14:paraId="3107D2AC">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采购合同的履行、违约责任和解决争议的方法等适用《中华人民共和国民法典》。</w:t>
      </w:r>
    </w:p>
    <w:p w14:paraId="03C58FB8">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中标人在评审结束当天至合同履行结束，若因不可抗力的因素（如国家出台新法律法规等）造成投标人资质的变动，投标人应以纸质版形式通知采购人。若资质变动导致中标人不再具备履行合同资质要求，采购人有权中止合同。</w:t>
      </w:r>
    </w:p>
    <w:p w14:paraId="1B3A6474">
      <w:pPr>
        <w:pageBreakBefore w:val="0"/>
        <w:widowControl w:val="0"/>
        <w:tabs>
          <w:tab w:val="left" w:pos="907"/>
        </w:tabs>
        <w:kinsoku/>
        <w:wordWrap/>
        <w:topLinePunct w:val="0"/>
        <w:autoSpaceDE/>
        <w:autoSpaceDN/>
        <w:bidi w:val="0"/>
        <w:adjustRightInd w:val="0"/>
        <w:snapToGrid w:val="0"/>
        <w:jc w:val="both"/>
        <w:rPr>
          <w:rFonts w:ascii="宋体" w:hAnsi="宋体" w:cs="宋体"/>
          <w:color w:val="auto"/>
          <w:highlight w:val="none"/>
        </w:rPr>
      </w:pPr>
    </w:p>
    <w:p w14:paraId="1412A20B">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153" w:name="_Toc382049124"/>
      <w:bookmarkStart w:id="154" w:name="_Toc29009"/>
      <w:bookmarkStart w:id="155" w:name="_Toc303084277"/>
      <w:bookmarkStart w:id="156" w:name="_Toc19211"/>
      <w:bookmarkStart w:id="157" w:name="_Toc8157"/>
      <w:bookmarkStart w:id="158" w:name="_Toc6617"/>
      <w:r>
        <w:rPr>
          <w:rFonts w:hint="eastAsia" w:ascii="宋体" w:hAnsi="宋体" w:cs="宋体"/>
          <w:color w:val="auto"/>
          <w:sz w:val="21"/>
          <w:szCs w:val="21"/>
          <w:highlight w:val="none"/>
        </w:rPr>
        <w:t>履约</w:t>
      </w:r>
      <w:bookmarkEnd w:id="153"/>
      <w:bookmarkEnd w:id="154"/>
      <w:bookmarkEnd w:id="155"/>
      <w:r>
        <w:rPr>
          <w:rFonts w:hint="eastAsia" w:ascii="宋体" w:hAnsi="宋体" w:cs="宋体"/>
          <w:color w:val="auto"/>
          <w:sz w:val="21"/>
          <w:szCs w:val="21"/>
          <w:highlight w:val="none"/>
        </w:rPr>
        <w:t>担保</w:t>
      </w:r>
      <w:bookmarkEnd w:id="156"/>
      <w:bookmarkEnd w:id="157"/>
      <w:bookmarkEnd w:id="158"/>
    </w:p>
    <w:p w14:paraId="0ECD7810">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中标人在采购（合同签署）时提交履约担保，履约担保金额不超过中标合同金额的10%，如果中标人提交的履约保函的有效期先于合同要求的履约保函有效期到达，中标人应在原提交的履约保函有效期满前15天，无条件办理保函延期手续。否则，视中标人违约，采购人可在保函到期前将保函金额转为现金存入履约保证金账户。</w:t>
      </w:r>
    </w:p>
    <w:p w14:paraId="64928BDF">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履约担保期限从合同签订之日起至项目服务期结束验收合格并结算完毕后，经双方签字</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天内保持有效。</w:t>
      </w:r>
    </w:p>
    <w:p w14:paraId="709F1F69">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履约担保可以采用下列任何一种形式：</w:t>
      </w:r>
    </w:p>
    <w:p w14:paraId="5B7FCABD">
      <w:pPr>
        <w:pageBreakBefore w:val="0"/>
        <w:widowControl w:val="0"/>
        <w:numPr>
          <w:ilvl w:val="-1"/>
          <w:numId w:val="0"/>
        </w:numPr>
        <w:kinsoku/>
        <w:wordWrap/>
        <w:overflowPunct w:val="0"/>
        <w:topLinePunct w:val="0"/>
        <w:autoSpaceDE/>
        <w:autoSpaceDN/>
        <w:bidi w:val="0"/>
        <w:adjustRightInd w:val="0"/>
        <w:snapToGrid w:val="0"/>
        <w:ind w:left="0" w:firstLine="420" w:firstLineChars="200"/>
        <w:rPr>
          <w:rFonts w:ascii="宋体" w:hAnsi="宋体" w:cs="宋体"/>
          <w:color w:val="auto"/>
          <w:szCs w:val="21"/>
          <w:highlight w:val="none"/>
        </w:rPr>
      </w:pPr>
      <w:r>
        <w:rPr>
          <w:rFonts w:hint="eastAsia" w:ascii="宋体" w:hAnsi="宋体" w:cs="宋体"/>
          <w:color w:val="auto"/>
          <w:szCs w:val="21"/>
          <w:highlight w:val="none"/>
        </w:rPr>
        <w:t>（1）履约保函。如果中标人的履约担保是以银行保函形式提供的，则该银行保函应：</w:t>
      </w:r>
    </w:p>
    <w:p w14:paraId="44903BD1">
      <w:pPr>
        <w:pageBreakBefore w:val="0"/>
        <w:widowControl w:val="0"/>
        <w:numPr>
          <w:ilvl w:val="-1"/>
          <w:numId w:val="0"/>
        </w:numPr>
        <w:tabs>
          <w:tab w:val="left" w:pos="907"/>
        </w:tabs>
        <w:kinsoku/>
        <w:wordWrap/>
        <w:overflowPunct/>
        <w:topLinePunct w:val="0"/>
        <w:autoSpaceDE/>
        <w:autoSpaceDN/>
        <w:bidi w:val="0"/>
        <w:adjustRightInd w:val="0"/>
        <w:snapToGrid w:val="0"/>
        <w:ind w:left="567" w:firstLine="210" w:firstLineChars="1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①保函应由银行支行或以上银行机构开具。</w:t>
      </w:r>
    </w:p>
    <w:p w14:paraId="3BA664D5">
      <w:pPr>
        <w:pageBreakBefore w:val="0"/>
        <w:widowControl w:val="0"/>
        <w:numPr>
          <w:ilvl w:val="-1"/>
          <w:numId w:val="0"/>
        </w:numPr>
        <w:tabs>
          <w:tab w:val="left" w:pos="907"/>
        </w:tabs>
        <w:kinsoku/>
        <w:wordWrap/>
        <w:overflowPunct/>
        <w:topLinePunct w:val="0"/>
        <w:autoSpaceDE/>
        <w:autoSpaceDN/>
        <w:bidi w:val="0"/>
        <w:adjustRightInd w:val="0"/>
        <w:snapToGrid w:val="0"/>
        <w:ind w:left="766" w:leftChars="365" w:firstLine="0" w:firstLineChars="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②保函的格式参考投标文件附件中提供的无条件不可撤销履约保函格式，保函担保期内若项目未能按期竣工，保函必须延期，办理延期手续时在银行方面所产生费用由中标人负责。</w:t>
      </w:r>
    </w:p>
    <w:p w14:paraId="20B35C2B">
      <w:pPr>
        <w:pageBreakBefore w:val="0"/>
        <w:widowControl w:val="0"/>
        <w:numPr>
          <w:ilvl w:val="-1"/>
          <w:numId w:val="0"/>
        </w:numPr>
        <w:tabs>
          <w:tab w:val="left" w:pos="907"/>
        </w:tabs>
        <w:kinsoku/>
        <w:wordWrap/>
        <w:overflowPunct/>
        <w:topLinePunct w:val="0"/>
        <w:autoSpaceDE/>
        <w:autoSpaceDN/>
        <w:bidi w:val="0"/>
        <w:adjustRightInd w:val="0"/>
        <w:snapToGrid w:val="0"/>
        <w:ind w:left="567" w:firstLine="210" w:firstLineChars="1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③履约保函必须打印，手写、涂改无效。</w:t>
      </w:r>
    </w:p>
    <w:p w14:paraId="45ADBD33">
      <w:pPr>
        <w:pageBreakBefore w:val="0"/>
        <w:widowControl w:val="0"/>
        <w:numPr>
          <w:ilvl w:val="-1"/>
          <w:numId w:val="0"/>
        </w:numPr>
        <w:tabs>
          <w:tab w:val="left" w:pos="907"/>
        </w:tabs>
        <w:kinsoku/>
        <w:wordWrap/>
        <w:overflowPunct/>
        <w:topLinePunct w:val="0"/>
        <w:autoSpaceDE/>
        <w:autoSpaceDN/>
        <w:bidi w:val="0"/>
        <w:adjustRightInd w:val="0"/>
        <w:snapToGrid w:val="0"/>
        <w:ind w:left="567" w:firstLine="0" w:firstLineChars="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履约保证金。可采用电汇、银行汇票等银行转账方式提交，但不可以采用现金方式提交。履约保证金金额为中标价的10%。中标人人必须保证履约保证金以中标人的名称在（合同约定的日期）前提交至采购人指定账户。</w:t>
      </w:r>
    </w:p>
    <w:p w14:paraId="0A5D8846">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若中标人不能按本采购文件的规定提交履约保证金的，采购人将有权取消中标人的中标资格（采购人可以按照评标委员会提出的中标候选人名单排序依次确定其他中标候选人为中标人，也可以重新采购），投标保证金不予退还，给采购人造成的损失如果超过投标保证金数额的，还应当对超过部分予以赔偿。</w:t>
      </w:r>
    </w:p>
    <w:p w14:paraId="2D122030">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为取得履约担保所需的费用，由中标人承担；若工期延误，履约担保时间延长，延长费用由中标人承担。</w:t>
      </w:r>
    </w:p>
    <w:p w14:paraId="76E4954A">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若中标人在合同履行过程中出现项目质量事故、工期拖延、欠付工人工资、欠付材料款等情况，采购人在经核查属实后，有权将履约保函金额转为现金存入履约保证金账户；中标人造成采购人损失的，采购人有权立即没收其履约担保，若造成损失超过履约担保的，还应当对超过部分予以赔偿。</w:t>
      </w:r>
    </w:p>
    <w:p w14:paraId="1E068D37">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下列任何情况发生时，采购人有权行使享有的担保权利：</w:t>
      </w:r>
    </w:p>
    <w:p w14:paraId="4B6EBF2C">
      <w:pPr>
        <w:pageBreakBefore w:val="0"/>
        <w:widowControl w:val="0"/>
        <w:tabs>
          <w:tab w:val="left" w:pos="907"/>
        </w:tabs>
        <w:kinsoku/>
        <w:wordWrap/>
        <w:topLinePunct w:val="0"/>
        <w:autoSpaceDE/>
        <w:autoSpaceDN/>
        <w:bidi w:val="0"/>
        <w:adjustRightInd w:val="0"/>
        <w:snapToGrid w:val="0"/>
        <w:ind w:left="567"/>
        <w:jc w:val="both"/>
        <w:rPr>
          <w:rFonts w:ascii="宋体" w:hAnsi="宋体" w:cs="宋体"/>
          <w:color w:val="auto"/>
          <w:szCs w:val="21"/>
          <w:highlight w:val="none"/>
        </w:rPr>
      </w:pPr>
      <w:r>
        <w:rPr>
          <w:rFonts w:hint="eastAsia" w:ascii="宋体" w:hAnsi="宋体" w:cs="宋体"/>
          <w:color w:val="auto"/>
          <w:szCs w:val="21"/>
          <w:highlight w:val="none"/>
        </w:rPr>
        <w:t>（1）中标人将本项目转让给他人，或者在投标文件中未说明，且未经采购人同意，将中标项目分包给他人的；</w:t>
      </w:r>
    </w:p>
    <w:p w14:paraId="2741C9B6">
      <w:pPr>
        <w:pageBreakBefore w:val="0"/>
        <w:widowControl w:val="0"/>
        <w:tabs>
          <w:tab w:val="left" w:pos="907"/>
        </w:tabs>
        <w:kinsoku/>
        <w:wordWrap/>
        <w:topLinePunct w:val="0"/>
        <w:autoSpaceDE/>
        <w:autoSpaceDN/>
        <w:bidi w:val="0"/>
        <w:adjustRightInd w:val="0"/>
        <w:snapToGrid w:val="0"/>
        <w:ind w:left="567"/>
        <w:jc w:val="both"/>
        <w:rPr>
          <w:rFonts w:ascii="宋体" w:hAnsi="宋体" w:cs="宋体"/>
          <w:color w:val="auto"/>
          <w:szCs w:val="21"/>
          <w:highlight w:val="none"/>
        </w:rPr>
      </w:pPr>
      <w:r>
        <w:rPr>
          <w:rFonts w:hint="eastAsia" w:ascii="宋体" w:hAnsi="宋体" w:cs="宋体"/>
          <w:color w:val="auto"/>
          <w:szCs w:val="21"/>
          <w:highlight w:val="none"/>
        </w:rPr>
        <w:t>（2）中标人在履行采购合同期间，违反有关法律法规的规定及合同约定的条款，损害了采购人的利益。</w:t>
      </w:r>
    </w:p>
    <w:p w14:paraId="7824F437">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在整个项目验收合格后，中标人向采购人提交退回履约担保的申请，采购人办理履约担保退还手续。</w:t>
      </w:r>
    </w:p>
    <w:p w14:paraId="7A2B9467">
      <w:pPr>
        <w:pageBreakBefore w:val="0"/>
        <w:widowControl w:val="0"/>
        <w:tabs>
          <w:tab w:val="left" w:pos="907"/>
        </w:tabs>
        <w:kinsoku/>
        <w:wordWrap/>
        <w:topLinePunct w:val="0"/>
        <w:autoSpaceDE/>
        <w:autoSpaceDN/>
        <w:bidi w:val="0"/>
        <w:adjustRightInd w:val="0"/>
        <w:snapToGrid w:val="0"/>
        <w:jc w:val="both"/>
        <w:rPr>
          <w:rFonts w:ascii="宋体" w:hAnsi="宋体" w:cs="宋体"/>
          <w:color w:val="auto"/>
          <w:highlight w:val="none"/>
        </w:rPr>
      </w:pPr>
    </w:p>
    <w:p w14:paraId="3D1D9040">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159" w:name="_Toc19347"/>
      <w:bookmarkStart w:id="160" w:name="_Toc18880"/>
      <w:bookmarkStart w:id="161" w:name="_Toc24319"/>
      <w:r>
        <w:rPr>
          <w:rFonts w:hint="eastAsia" w:ascii="宋体" w:hAnsi="宋体" w:cs="宋体"/>
          <w:color w:val="auto"/>
          <w:sz w:val="21"/>
          <w:szCs w:val="21"/>
          <w:highlight w:val="none"/>
        </w:rPr>
        <w:t>预付款保函（适用于预付款支付）</w:t>
      </w:r>
      <w:bookmarkEnd w:id="159"/>
      <w:bookmarkEnd w:id="160"/>
      <w:bookmarkEnd w:id="161"/>
    </w:p>
    <w:p w14:paraId="0B223A82">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在签订合同时，中标人应按本须知规定向采购人提交一份合同预付款等额有效的预付款保函。预付款保函有效期从保函开立之日起至采购人向中标人抵扣完所有预付款之日止。如果中标人提交的预付款保函的有效期先于采购文件要求的预付款保函有效期到达，中标人应在原提交的预付款保函有效期前15日内，无条件办理预付款保函延期手续。否则视为中标人违约，采购人可在预付款保函到期前将未抵扣的预付款转为现金存入采购人账户</w:t>
      </w:r>
    </w:p>
    <w:p w14:paraId="3FF4AA88">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预付款保函应：</w:t>
      </w:r>
    </w:p>
    <w:p w14:paraId="43E4814D">
      <w:pPr>
        <w:pageBreakBefore w:val="0"/>
        <w:widowControl w:val="0"/>
        <w:tabs>
          <w:tab w:val="left" w:pos="907"/>
        </w:tabs>
        <w:kinsoku/>
        <w:wordWrap/>
        <w:topLinePunct w:val="0"/>
        <w:autoSpaceDE/>
        <w:autoSpaceDN/>
        <w:bidi w:val="0"/>
        <w:adjustRightInd w:val="0"/>
        <w:snapToGrid w:val="0"/>
        <w:ind w:left="567"/>
        <w:jc w:val="both"/>
        <w:rPr>
          <w:rFonts w:ascii="宋体" w:hAnsi="宋体" w:cs="宋体"/>
          <w:color w:val="auto"/>
          <w:szCs w:val="21"/>
          <w:highlight w:val="none"/>
        </w:rPr>
      </w:pPr>
      <w:r>
        <w:rPr>
          <w:rFonts w:hint="eastAsia" w:ascii="宋体" w:hAnsi="宋体" w:cs="宋体"/>
          <w:color w:val="auto"/>
          <w:szCs w:val="21"/>
          <w:highlight w:val="none"/>
        </w:rPr>
        <w:t>（1）由东莞市行政区域内的银行支行及以上银行机构开具。</w:t>
      </w:r>
    </w:p>
    <w:p w14:paraId="781FEB2C">
      <w:pPr>
        <w:pageBreakBefore w:val="0"/>
        <w:widowControl w:val="0"/>
        <w:tabs>
          <w:tab w:val="left" w:pos="907"/>
        </w:tabs>
        <w:kinsoku/>
        <w:wordWrap/>
        <w:topLinePunct w:val="0"/>
        <w:autoSpaceDE/>
        <w:autoSpaceDN/>
        <w:bidi w:val="0"/>
        <w:adjustRightInd w:val="0"/>
        <w:snapToGrid w:val="0"/>
        <w:ind w:left="567"/>
        <w:jc w:val="both"/>
        <w:rPr>
          <w:rFonts w:ascii="宋体" w:hAnsi="宋体" w:cs="宋体"/>
          <w:color w:val="auto"/>
          <w:szCs w:val="21"/>
          <w:highlight w:val="none"/>
        </w:rPr>
      </w:pPr>
      <w:r>
        <w:rPr>
          <w:rFonts w:hint="eastAsia" w:ascii="宋体" w:hAnsi="宋体" w:cs="宋体"/>
          <w:color w:val="auto"/>
          <w:szCs w:val="21"/>
          <w:highlight w:val="none"/>
        </w:rPr>
        <w:t>（2）必须打印，手写、涂改无效</w:t>
      </w:r>
    </w:p>
    <w:p w14:paraId="2082C580">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若中标人不能按本须知（34.1至34.2）的规定执行，采购人将不予支付预付款。</w:t>
      </w:r>
    </w:p>
    <w:p w14:paraId="55680079">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如果中标人提交的预付款保函的有效期先于采购文件要求的预付款保函有效期到达，中标人应在原提交的预付款保函有效期满前15天内，无条件办理预付款保函延期手续。否则视为中标人违约，采购人可在预付款保函到期前将未抵扣的预付款金额转为现金存入采购人账户。</w:t>
      </w:r>
    </w:p>
    <w:p w14:paraId="3A07C921">
      <w:pPr>
        <w:pageBreakBefore w:val="0"/>
        <w:kinsoku/>
        <w:wordWrap/>
        <w:topLinePunct w:val="0"/>
        <w:autoSpaceDE/>
        <w:autoSpaceDN/>
        <w:bidi w:val="0"/>
        <w:adjustRightInd w:val="0"/>
        <w:snapToGrid w:val="0"/>
        <w:rPr>
          <w:rFonts w:ascii="宋体" w:hAnsi="宋体" w:cs="宋体"/>
          <w:color w:val="auto"/>
          <w:highlight w:val="none"/>
        </w:rPr>
      </w:pPr>
    </w:p>
    <w:p w14:paraId="6DF7152F">
      <w:pPr>
        <w:pStyle w:val="7"/>
        <w:pageBreakBefore w:val="0"/>
        <w:numPr>
          <w:ilvl w:val="0"/>
          <w:numId w:val="1"/>
        </w:numPr>
        <w:kinsoku/>
        <w:wordWrap/>
        <w:topLinePunct w:val="0"/>
        <w:autoSpaceDE/>
        <w:autoSpaceDN/>
        <w:bidi w:val="0"/>
        <w:adjustRightInd w:val="0"/>
        <w:snapToGrid w:val="0"/>
        <w:spacing w:before="0" w:after="0" w:line="360" w:lineRule="auto"/>
        <w:jc w:val="center"/>
        <w:rPr>
          <w:rFonts w:ascii="宋体" w:hAnsi="宋体" w:cs="宋体"/>
          <w:color w:val="auto"/>
          <w:highlight w:val="none"/>
        </w:rPr>
      </w:pPr>
      <w:bookmarkStart w:id="162" w:name="_Toc17702"/>
      <w:bookmarkStart w:id="163" w:name="_Toc27556"/>
      <w:bookmarkStart w:id="164" w:name="_Toc21814"/>
      <w:r>
        <w:rPr>
          <w:rFonts w:hint="eastAsia" w:ascii="宋体" w:hAnsi="宋体" w:cs="宋体"/>
          <w:color w:val="auto"/>
          <w:highlight w:val="none"/>
        </w:rPr>
        <w:t>异议</w:t>
      </w:r>
      <w:bookmarkEnd w:id="162"/>
      <w:bookmarkEnd w:id="163"/>
      <w:bookmarkEnd w:id="164"/>
    </w:p>
    <w:p w14:paraId="7E6AF14A">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165" w:name="_Toc9791"/>
      <w:bookmarkStart w:id="166" w:name="_Toc5822"/>
      <w:bookmarkStart w:id="167" w:name="_Toc31457"/>
      <w:r>
        <w:rPr>
          <w:rFonts w:hint="eastAsia" w:ascii="宋体" w:hAnsi="宋体" w:cs="宋体"/>
          <w:color w:val="auto"/>
          <w:sz w:val="21"/>
          <w:szCs w:val="21"/>
          <w:highlight w:val="none"/>
        </w:rPr>
        <w:t>异议</w:t>
      </w:r>
      <w:bookmarkEnd w:id="165"/>
      <w:bookmarkEnd w:id="166"/>
      <w:bookmarkEnd w:id="167"/>
    </w:p>
    <w:p w14:paraId="690426FC">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lang w:val="zh-CN"/>
        </w:rPr>
        <w:t>采购文件的异议</w:t>
      </w:r>
    </w:p>
    <w:p w14:paraId="34A115F4">
      <w:pPr>
        <w:pageBreakBefore w:val="0"/>
        <w:widowControl w:val="0"/>
        <w:tabs>
          <w:tab w:val="left" w:pos="907"/>
        </w:tabs>
        <w:kinsoku/>
        <w:wordWrap/>
        <w:topLinePunct w:val="0"/>
        <w:autoSpaceDE/>
        <w:autoSpaceDN/>
        <w:bidi w:val="0"/>
        <w:adjustRightInd w:val="0"/>
        <w:snapToGrid w:val="0"/>
        <w:ind w:firstLine="420" w:firstLineChars="200"/>
        <w:jc w:val="both"/>
        <w:rPr>
          <w:rFonts w:ascii="宋体" w:hAnsi="宋体" w:cs="宋体"/>
          <w:color w:val="auto"/>
          <w:szCs w:val="21"/>
          <w:highlight w:val="none"/>
        </w:rPr>
      </w:pPr>
      <w:r>
        <w:rPr>
          <w:rFonts w:hint="eastAsia" w:ascii="宋体" w:hAnsi="宋体" w:cs="宋体"/>
          <w:bCs/>
          <w:color w:val="auto"/>
          <w:kern w:val="2"/>
          <w:szCs w:val="21"/>
          <w:highlight w:val="none"/>
          <w:lang w:val="zh-CN"/>
        </w:rPr>
        <w:t>投标人或者其他利害关系人对采购文件有异议的，应当在投标截止时间10日前</w:t>
      </w:r>
      <w:r>
        <w:rPr>
          <w:rFonts w:hint="eastAsia" w:ascii="宋体" w:hAnsi="宋体" w:cs="宋体"/>
          <w:color w:val="auto"/>
          <w:kern w:val="2"/>
          <w:szCs w:val="21"/>
          <w:highlight w:val="none"/>
          <w:lang w:val="zh-CN"/>
        </w:rPr>
        <w:t>以书面形式向采购代理机构提出，并将材料原件送达采购代理机构，逾期则视为对采购文件所有内容无异议。</w:t>
      </w:r>
      <w:r>
        <w:rPr>
          <w:rFonts w:hint="eastAsia" w:ascii="宋体" w:hAnsi="宋体" w:cs="宋体"/>
          <w:bCs/>
          <w:color w:val="auto"/>
          <w:kern w:val="2"/>
          <w:szCs w:val="21"/>
          <w:highlight w:val="none"/>
          <w:lang w:val="zh-CN"/>
        </w:rPr>
        <w:t>异议</w:t>
      </w:r>
      <w:r>
        <w:rPr>
          <w:rFonts w:hint="eastAsia" w:ascii="宋体" w:hAnsi="宋体" w:cs="宋体"/>
          <w:color w:val="auto"/>
          <w:kern w:val="2"/>
          <w:szCs w:val="21"/>
          <w:highlight w:val="none"/>
          <w:lang w:val="zh-CN"/>
        </w:rPr>
        <w:t>书面材料必须加盖投标人法人公章，并注明联系人、联系电话、联系地址。</w:t>
      </w:r>
      <w:r>
        <w:rPr>
          <w:rFonts w:hint="eastAsia" w:ascii="宋体" w:hAnsi="宋体" w:cs="宋体"/>
          <w:bCs/>
          <w:color w:val="auto"/>
          <w:kern w:val="2"/>
          <w:szCs w:val="21"/>
          <w:highlight w:val="none"/>
          <w:lang w:val="zh-CN"/>
        </w:rPr>
        <w:t>超出</w:t>
      </w:r>
      <w:r>
        <w:rPr>
          <w:rFonts w:hint="eastAsia" w:ascii="宋体" w:hAnsi="宋体" w:cs="宋体"/>
          <w:color w:val="auto"/>
          <w:kern w:val="2"/>
          <w:szCs w:val="21"/>
          <w:highlight w:val="none"/>
          <w:lang w:val="zh-CN"/>
        </w:rPr>
        <w:t>提交接收异议截止时间而</w:t>
      </w:r>
      <w:r>
        <w:rPr>
          <w:rFonts w:hint="eastAsia" w:ascii="宋体" w:hAnsi="宋体" w:cs="宋体"/>
          <w:bCs/>
          <w:color w:val="auto"/>
          <w:kern w:val="2"/>
          <w:szCs w:val="21"/>
          <w:highlight w:val="none"/>
          <w:lang w:val="zh-CN"/>
        </w:rPr>
        <w:t>提出的任何疑问，</w:t>
      </w:r>
      <w:r>
        <w:rPr>
          <w:rFonts w:hint="eastAsia" w:ascii="宋体" w:hAnsi="宋体" w:cs="宋体"/>
          <w:bCs/>
          <w:color w:val="auto"/>
          <w:kern w:val="2"/>
          <w:szCs w:val="21"/>
          <w:highlight w:val="none"/>
        </w:rPr>
        <w:t>采购人或</w:t>
      </w:r>
      <w:r>
        <w:rPr>
          <w:rFonts w:hint="eastAsia" w:ascii="宋体" w:hAnsi="宋体" w:cs="宋体"/>
          <w:bCs/>
          <w:color w:val="auto"/>
          <w:kern w:val="2"/>
          <w:szCs w:val="21"/>
          <w:highlight w:val="none"/>
          <w:lang w:val="zh-CN"/>
        </w:rPr>
        <w:t>采购代理机构可不予答复。</w:t>
      </w:r>
    </w:p>
    <w:p w14:paraId="243AA93D">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lang w:val="zh-CN"/>
        </w:rPr>
        <w:t>评标结果异议</w:t>
      </w:r>
    </w:p>
    <w:p w14:paraId="399AF92C">
      <w:pPr>
        <w:pageBreakBefore w:val="0"/>
        <w:widowControl w:val="0"/>
        <w:tabs>
          <w:tab w:val="left" w:pos="907"/>
        </w:tabs>
        <w:kinsoku/>
        <w:wordWrap/>
        <w:topLinePunct w:val="0"/>
        <w:autoSpaceDE/>
        <w:autoSpaceDN/>
        <w:bidi w:val="0"/>
        <w:adjustRightInd w:val="0"/>
        <w:snapToGrid w:val="0"/>
        <w:ind w:firstLine="420" w:firstLineChars="200"/>
        <w:jc w:val="both"/>
        <w:rPr>
          <w:rFonts w:ascii="宋体" w:hAnsi="宋体" w:cs="宋体"/>
          <w:color w:val="auto"/>
          <w:kern w:val="2"/>
          <w:szCs w:val="21"/>
          <w:highlight w:val="none"/>
          <w:lang w:val="zh-CN"/>
        </w:rPr>
      </w:pPr>
      <w:r>
        <w:rPr>
          <w:rFonts w:hint="eastAsia" w:ascii="宋体" w:hAnsi="宋体" w:cs="宋体"/>
          <w:color w:val="auto"/>
          <w:kern w:val="2"/>
          <w:szCs w:val="21"/>
          <w:highlight w:val="none"/>
          <w:lang w:val="zh-CN"/>
        </w:rPr>
        <w:t>投标人或者其他利害关系人对评标结果有异议的，应当在中标候选人公示期间向采购代理机构以书面的形式提出，并将完整的异议书面材料原件送达采购代理机构，逾期则视为对评标结果无异议。超出提交异议截止时间而提出的任何疑问，采购代理机构可不予答复。</w:t>
      </w:r>
    </w:p>
    <w:p w14:paraId="1D0A6A4C">
      <w:pPr>
        <w:pageBreakBefore w:val="0"/>
        <w:widowControl w:val="0"/>
        <w:tabs>
          <w:tab w:val="left" w:pos="907"/>
        </w:tabs>
        <w:kinsoku/>
        <w:wordWrap/>
        <w:topLinePunct w:val="0"/>
        <w:autoSpaceDE/>
        <w:autoSpaceDN/>
        <w:bidi w:val="0"/>
        <w:adjustRightInd w:val="0"/>
        <w:snapToGrid w:val="0"/>
        <w:ind w:firstLine="420" w:firstLineChars="200"/>
        <w:jc w:val="both"/>
        <w:rPr>
          <w:rFonts w:ascii="宋体" w:hAnsi="宋体" w:cs="宋体"/>
          <w:color w:val="auto"/>
          <w:kern w:val="2"/>
          <w:szCs w:val="21"/>
          <w:highlight w:val="none"/>
          <w:lang w:val="zh-CN"/>
        </w:rPr>
      </w:pPr>
      <w:r>
        <w:rPr>
          <w:rFonts w:hint="eastAsia" w:ascii="宋体" w:hAnsi="宋体" w:cs="宋体"/>
          <w:color w:val="auto"/>
          <w:kern w:val="2"/>
          <w:szCs w:val="21"/>
          <w:highlight w:val="none"/>
          <w:lang w:val="zh-CN"/>
        </w:rPr>
        <w:t>采购代理机构将拒收未能提供完整异议书面材料的异议，完整的异议书面材料必须同时包含：异议书（加盖法人公章，并注明联系人、联系电话、联系地址）、授权提交异议的法定代表人授权书原件、反映异议人主体资格的营业执照复印件（加盖法人公章）、以及合法来源的证据证明材料。</w:t>
      </w:r>
    </w:p>
    <w:p w14:paraId="54456C73">
      <w:pPr>
        <w:pageBreakBefore w:val="0"/>
        <w:widowControl w:val="0"/>
        <w:numPr>
          <w:ilvl w:val="1"/>
          <w:numId w:val="2"/>
        </w:numPr>
        <w:kinsoku/>
        <w:wordWrap/>
        <w:overflowPunct w:val="0"/>
        <w:topLinePunct w:val="0"/>
        <w:autoSpaceDE/>
        <w:autoSpaceDN/>
        <w:bidi w:val="0"/>
        <w:adjustRightInd w:val="0"/>
        <w:snapToGrid w:val="0"/>
        <w:rPr>
          <w:rFonts w:ascii="宋体" w:hAnsi="宋体" w:cs="宋体"/>
          <w:color w:val="auto"/>
          <w:szCs w:val="21"/>
          <w:highlight w:val="none"/>
        </w:rPr>
      </w:pPr>
      <w:r>
        <w:rPr>
          <w:rFonts w:hint="eastAsia" w:ascii="宋体" w:hAnsi="宋体" w:cs="宋体"/>
          <w:color w:val="auto"/>
          <w:szCs w:val="21"/>
          <w:highlight w:val="none"/>
        </w:rPr>
        <w:t>以联合体形式参加采购活动的，其异议应当由组成联合体的所有投标人共同提出。</w:t>
      </w:r>
    </w:p>
    <w:p w14:paraId="6DE8A21B">
      <w:pPr>
        <w:pageBreakBefore w:val="0"/>
        <w:kinsoku/>
        <w:wordWrap/>
        <w:topLinePunct w:val="0"/>
        <w:autoSpaceDE/>
        <w:autoSpaceDN/>
        <w:bidi w:val="0"/>
        <w:adjustRightInd w:val="0"/>
        <w:snapToGrid w:val="0"/>
        <w:rPr>
          <w:rFonts w:ascii="宋体" w:hAnsi="宋体" w:cs="宋体"/>
          <w:color w:val="auto"/>
          <w:highlight w:val="none"/>
        </w:rPr>
      </w:pPr>
    </w:p>
    <w:p w14:paraId="56EF1E43">
      <w:pPr>
        <w:pStyle w:val="7"/>
        <w:pageBreakBefore w:val="0"/>
        <w:numPr>
          <w:ilvl w:val="0"/>
          <w:numId w:val="1"/>
        </w:numPr>
        <w:kinsoku/>
        <w:wordWrap/>
        <w:topLinePunct w:val="0"/>
        <w:autoSpaceDE/>
        <w:autoSpaceDN/>
        <w:bidi w:val="0"/>
        <w:adjustRightInd w:val="0"/>
        <w:snapToGrid w:val="0"/>
        <w:spacing w:before="0" w:after="0" w:line="360" w:lineRule="auto"/>
        <w:jc w:val="center"/>
        <w:rPr>
          <w:rFonts w:ascii="宋体" w:hAnsi="宋体" w:cs="宋体"/>
          <w:color w:val="auto"/>
          <w:highlight w:val="none"/>
        </w:rPr>
      </w:pPr>
      <w:bookmarkStart w:id="168" w:name="_Toc16776"/>
      <w:bookmarkStart w:id="169" w:name="_Toc2497"/>
      <w:bookmarkStart w:id="170" w:name="_Toc18965"/>
      <w:r>
        <w:rPr>
          <w:rFonts w:hint="eastAsia" w:ascii="宋体" w:hAnsi="宋体" w:cs="宋体"/>
          <w:color w:val="auto"/>
          <w:highlight w:val="none"/>
        </w:rPr>
        <w:t>其他</w:t>
      </w:r>
      <w:bookmarkEnd w:id="168"/>
      <w:bookmarkEnd w:id="169"/>
      <w:bookmarkEnd w:id="170"/>
    </w:p>
    <w:p w14:paraId="4EC2260C">
      <w:pPr>
        <w:pStyle w:val="8"/>
        <w:pageBreakBefore w:val="0"/>
        <w:widowControl w:val="0"/>
        <w:numPr>
          <w:ilvl w:val="0"/>
          <w:numId w:val="2"/>
        </w:numPr>
        <w:kinsoku/>
        <w:wordWrap/>
        <w:overflowPunct w:val="0"/>
        <w:topLinePunct w:val="0"/>
        <w:autoSpaceDE/>
        <w:autoSpaceDN/>
        <w:bidi w:val="0"/>
        <w:adjustRightInd w:val="0"/>
        <w:snapToGrid w:val="0"/>
        <w:rPr>
          <w:rFonts w:ascii="宋体" w:hAnsi="宋体" w:cs="宋体"/>
          <w:color w:val="auto"/>
          <w:sz w:val="21"/>
          <w:szCs w:val="21"/>
          <w:highlight w:val="none"/>
        </w:rPr>
      </w:pPr>
      <w:bookmarkStart w:id="171" w:name="_Toc1587"/>
      <w:bookmarkStart w:id="172" w:name="_Toc2155"/>
      <w:bookmarkStart w:id="173" w:name="_Toc23941"/>
      <w:r>
        <w:rPr>
          <w:rFonts w:hint="eastAsia" w:ascii="宋体" w:hAnsi="宋体" w:cs="宋体"/>
          <w:color w:val="auto"/>
          <w:sz w:val="21"/>
          <w:szCs w:val="21"/>
          <w:highlight w:val="none"/>
        </w:rPr>
        <w:t>采购文件的解释权</w:t>
      </w:r>
      <w:bookmarkEnd w:id="171"/>
      <w:bookmarkEnd w:id="172"/>
      <w:bookmarkEnd w:id="173"/>
    </w:p>
    <w:p w14:paraId="35FD244B">
      <w:pPr>
        <w:widowControl w:val="0"/>
        <w:numPr>
          <w:ilvl w:val="1"/>
          <w:numId w:val="2"/>
        </w:numPr>
        <w:overflowPunct w:val="0"/>
        <w:rPr>
          <w:rFonts w:hint="eastAsia" w:ascii="宋体" w:hAnsi="宋体" w:cs="宋体"/>
          <w:color w:val="auto"/>
          <w:sz w:val="21"/>
          <w:szCs w:val="21"/>
          <w:highlight w:val="none"/>
        </w:rPr>
      </w:pPr>
      <w:r>
        <w:rPr>
          <w:rFonts w:hint="eastAsia" w:ascii="宋体" w:hAnsi="宋体" w:cs="宋体"/>
          <w:color w:val="auto"/>
          <w:szCs w:val="21"/>
          <w:highlight w:val="none"/>
        </w:rPr>
        <w:t>本采购文件是根据国家有关法律、法规以及采购管理有关规定和参照国际惯例编制，解释权属本采购代理机构。</w:t>
      </w:r>
      <w:r>
        <w:rPr>
          <w:rFonts w:hint="eastAsia" w:ascii="宋体" w:hAnsi="宋体" w:cs="宋体"/>
          <w:color w:val="auto"/>
          <w:szCs w:val="21"/>
          <w:highlight w:val="none"/>
        </w:rPr>
        <w:br w:type="page"/>
      </w:r>
      <w:bookmarkStart w:id="174" w:name="_Toc15211"/>
    </w:p>
    <w:p w14:paraId="5499899B">
      <w:pPr>
        <w:pStyle w:val="6"/>
        <w:spacing w:before="0" w:after="0" w:line="240" w:lineRule="auto"/>
        <w:rPr>
          <w:color w:val="auto"/>
          <w:sz w:val="28"/>
          <w:szCs w:val="28"/>
          <w:highlight w:val="none"/>
        </w:rPr>
      </w:pPr>
      <w:bookmarkStart w:id="175" w:name="_Toc28478"/>
      <w:r>
        <w:rPr>
          <w:rFonts w:hint="eastAsia"/>
          <w:color w:val="auto"/>
          <w:sz w:val="28"/>
          <w:szCs w:val="28"/>
          <w:highlight w:val="none"/>
        </w:rPr>
        <w:t>第五部分</w:t>
      </w:r>
      <w:r>
        <w:rPr>
          <w:rFonts w:hint="eastAsia"/>
          <w:color w:val="auto"/>
          <w:sz w:val="28"/>
          <w:szCs w:val="28"/>
          <w:highlight w:val="none"/>
          <w:lang w:val="en-US" w:eastAsia="zh-CN"/>
        </w:rPr>
        <w:t xml:space="preserve"> </w:t>
      </w:r>
      <w:r>
        <w:rPr>
          <w:rFonts w:hint="eastAsia"/>
          <w:color w:val="auto"/>
          <w:sz w:val="28"/>
          <w:szCs w:val="28"/>
          <w:highlight w:val="none"/>
        </w:rPr>
        <w:t>合同条款格式</w:t>
      </w:r>
      <w:bookmarkEnd w:id="174"/>
      <w:bookmarkEnd w:id="175"/>
      <w:bookmarkStart w:id="176" w:name="_Toc15636"/>
    </w:p>
    <w:bookmarkEnd w:id="176"/>
    <w:p w14:paraId="42B8A486">
      <w:pPr>
        <w:rPr>
          <w:color w:val="auto"/>
          <w:highlight w:val="none"/>
          <w:lang w:bidi="zh-CN"/>
        </w:rPr>
      </w:pPr>
      <w:bookmarkStart w:id="177" w:name="_Hlt109815959"/>
      <w:bookmarkEnd w:id="177"/>
    </w:p>
    <w:p w14:paraId="6C4110E1">
      <w:pPr>
        <w:spacing w:line="360" w:lineRule="auto"/>
        <w:ind w:right="480"/>
        <w:jc w:val="center"/>
        <w:rPr>
          <w:rFonts w:hint="eastAsia" w:ascii="宋体" w:hAnsi="宋体" w:eastAsia="宋体" w:cs="宋体"/>
          <w:color w:val="auto"/>
          <w:highlight w:val="none"/>
        </w:rPr>
      </w:pPr>
      <w:r>
        <w:rPr>
          <w:rFonts w:hint="eastAsia" w:ascii="宋体" w:hAnsi="宋体" w:cs="宋体"/>
          <w:color w:val="auto"/>
          <w:highlight w:val="none"/>
          <w:lang w:val="en-US" w:eastAsia="zh-CN"/>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合同编号：</w:t>
      </w:r>
    </w:p>
    <w:p w14:paraId="2A6348CF">
      <w:pPr>
        <w:pageBreakBefore w:val="0"/>
        <w:widowControl/>
        <w:kinsoku/>
        <w:overflowPunct/>
        <w:topLinePunct w:val="0"/>
        <w:autoSpaceDE/>
        <w:autoSpaceDN/>
        <w:bidi w:val="0"/>
        <w:adjustRightInd w:val="0"/>
        <w:snapToGrid w:val="0"/>
        <w:spacing w:line="360" w:lineRule="auto"/>
        <w:rPr>
          <w:rFonts w:hint="eastAsia" w:ascii="宋体" w:hAnsi="宋体" w:eastAsia="宋体" w:cs="宋体"/>
          <w:color w:val="auto"/>
          <w:sz w:val="21"/>
          <w:szCs w:val="21"/>
          <w:highlight w:val="none"/>
        </w:rPr>
      </w:pPr>
    </w:p>
    <w:p w14:paraId="7E5A95AC">
      <w:pPr>
        <w:pageBreakBefore w:val="0"/>
        <w:widowControl/>
        <w:kinsoku/>
        <w:overflowPunct/>
        <w:topLinePunct w:val="0"/>
        <w:autoSpaceDE/>
        <w:autoSpaceDN/>
        <w:bidi w:val="0"/>
        <w:adjustRightInd w:val="0"/>
        <w:snapToGrid w:val="0"/>
        <w:spacing w:line="360" w:lineRule="auto"/>
        <w:rPr>
          <w:rFonts w:hint="eastAsia" w:ascii="宋体" w:hAnsi="宋体" w:eastAsia="宋体" w:cs="宋体"/>
          <w:color w:val="auto"/>
          <w:sz w:val="21"/>
          <w:szCs w:val="21"/>
          <w:highlight w:val="none"/>
          <w:lang w:val="en-US" w:eastAsia="zh-CN"/>
        </w:rPr>
      </w:pPr>
    </w:p>
    <w:p w14:paraId="66BCABCB">
      <w:pPr>
        <w:pStyle w:val="11"/>
        <w:spacing w:line="360" w:lineRule="auto"/>
        <w:ind w:firstLine="0" w:firstLineChars="0"/>
        <w:rPr>
          <w:rFonts w:hint="eastAsia" w:ascii="宋体" w:hAnsi="宋体" w:eastAsia="宋体" w:cs="宋体"/>
          <w:b/>
          <w:bCs/>
          <w:color w:val="auto"/>
          <w:highlight w:val="none"/>
        </w:rPr>
      </w:pPr>
    </w:p>
    <w:p w14:paraId="5D3A4F20">
      <w:pPr>
        <w:jc w:val="center"/>
        <w:rPr>
          <w:rFonts w:hint="eastAsia" w:hAnsi="宋体" w:eastAsia="宋体"/>
          <w:b/>
          <w:color w:val="auto"/>
          <w:sz w:val="52"/>
          <w:szCs w:val="52"/>
          <w:highlight w:val="none"/>
          <w:lang w:eastAsia="zh-CN"/>
        </w:rPr>
      </w:pPr>
      <w:r>
        <w:rPr>
          <w:rFonts w:hint="eastAsia" w:hAnsi="宋体"/>
          <w:b/>
          <w:color w:val="auto"/>
          <w:sz w:val="52"/>
          <w:szCs w:val="52"/>
          <w:highlight w:val="none"/>
          <w:lang w:eastAsia="zh-CN"/>
        </w:rPr>
        <w:t>麻涌餐厨项目预处理系统提效工程环保技术服务项目（重新采购）</w:t>
      </w:r>
    </w:p>
    <w:p w14:paraId="1F3D7E72">
      <w:pPr>
        <w:jc w:val="both"/>
        <w:rPr>
          <w:rFonts w:hAnsi="宋体"/>
          <w:b/>
          <w:color w:val="auto"/>
          <w:sz w:val="72"/>
          <w:szCs w:val="72"/>
          <w:highlight w:val="none"/>
        </w:rPr>
      </w:pPr>
    </w:p>
    <w:p w14:paraId="7E9137FF">
      <w:pPr>
        <w:jc w:val="center"/>
        <w:rPr>
          <w:rFonts w:hAnsi="宋体"/>
          <w:b/>
          <w:color w:val="auto"/>
          <w:sz w:val="72"/>
          <w:szCs w:val="72"/>
          <w:highlight w:val="none"/>
        </w:rPr>
      </w:pPr>
      <w:r>
        <w:rPr>
          <w:rFonts w:hint="eastAsia" w:hAnsi="宋体"/>
          <w:b/>
          <w:color w:val="auto"/>
          <w:sz w:val="72"/>
          <w:szCs w:val="72"/>
          <w:highlight w:val="none"/>
        </w:rPr>
        <w:t>服务合同</w:t>
      </w:r>
    </w:p>
    <w:p w14:paraId="4368F368">
      <w:pPr>
        <w:snapToGrid w:val="0"/>
        <w:spacing w:line="360" w:lineRule="auto"/>
        <w:rPr>
          <w:rFonts w:hAnsi="宋体"/>
          <w:b/>
          <w:bCs/>
          <w:snapToGrid w:val="0"/>
          <w:color w:val="auto"/>
          <w:sz w:val="32"/>
          <w:szCs w:val="32"/>
          <w:highlight w:val="none"/>
        </w:rPr>
      </w:pPr>
    </w:p>
    <w:p w14:paraId="3BE02057">
      <w:pPr>
        <w:snapToGrid w:val="0"/>
        <w:spacing w:line="360" w:lineRule="auto"/>
        <w:rPr>
          <w:rFonts w:hAnsi="宋体"/>
          <w:b/>
          <w:bCs/>
          <w:snapToGrid w:val="0"/>
          <w:color w:val="auto"/>
          <w:sz w:val="32"/>
          <w:szCs w:val="32"/>
          <w:highlight w:val="none"/>
        </w:rPr>
      </w:pPr>
    </w:p>
    <w:p w14:paraId="3B3AD87C">
      <w:pPr>
        <w:snapToGrid w:val="0"/>
        <w:spacing w:line="360" w:lineRule="auto"/>
        <w:rPr>
          <w:rFonts w:hAnsi="宋体"/>
          <w:snapToGrid w:val="0"/>
          <w:color w:val="auto"/>
          <w:highlight w:val="none"/>
        </w:rPr>
      </w:pPr>
    </w:p>
    <w:p w14:paraId="51EF6EDA">
      <w:pPr>
        <w:widowControl/>
        <w:wordWrap w:val="0"/>
        <w:snapToGrid/>
        <w:spacing w:line="360" w:lineRule="auto"/>
        <w:ind w:left="1919" w:leftChars="152" w:hanging="1600" w:hangingChars="500"/>
        <w:rPr>
          <w:rFonts w:hint="eastAsia" w:hAnsi="宋体" w:eastAsia="宋体" w:cs="黑体"/>
          <w:color w:val="auto"/>
          <w:sz w:val="32"/>
          <w:szCs w:val="32"/>
          <w:highlight w:val="none"/>
          <w:u w:val="single"/>
          <w:lang w:eastAsia="zh-CN"/>
        </w:rPr>
      </w:pPr>
      <w:r>
        <w:rPr>
          <w:rFonts w:hint="eastAsia" w:hAnsi="宋体" w:cs="黑体"/>
          <w:color w:val="auto"/>
          <w:sz w:val="32"/>
          <w:szCs w:val="32"/>
          <w:highlight w:val="none"/>
          <w:lang w:val="en-US" w:eastAsia="zh-CN"/>
        </w:rPr>
        <w:t>项目</w:t>
      </w:r>
      <w:r>
        <w:rPr>
          <w:rFonts w:hint="eastAsia" w:hAnsi="宋体" w:cs="黑体"/>
          <w:color w:val="auto"/>
          <w:sz w:val="32"/>
          <w:szCs w:val="32"/>
          <w:highlight w:val="none"/>
        </w:rPr>
        <w:t>名称：</w:t>
      </w:r>
      <w:r>
        <w:rPr>
          <w:rFonts w:hint="eastAsia" w:hAnsi="宋体" w:cs="黑体"/>
          <w:color w:val="auto"/>
          <w:spacing w:val="-6"/>
          <w:sz w:val="32"/>
          <w:szCs w:val="32"/>
          <w:highlight w:val="none"/>
          <w:u w:val="single"/>
          <w:lang w:eastAsia="zh-CN"/>
        </w:rPr>
        <w:t>麻涌餐厨项目预处理系统提效工程环保技术服务项目（重新采购）</w:t>
      </w:r>
    </w:p>
    <w:p w14:paraId="6A875793">
      <w:pPr>
        <w:widowControl/>
        <w:wordWrap w:val="0"/>
        <w:snapToGrid/>
        <w:spacing w:line="360" w:lineRule="auto"/>
        <w:ind w:firstLine="320" w:firstLineChars="100"/>
        <w:rPr>
          <w:rFonts w:hint="default" w:hAnsi="宋体" w:eastAsia="宋体" w:cs="黑体"/>
          <w:color w:val="auto"/>
          <w:sz w:val="32"/>
          <w:szCs w:val="32"/>
          <w:highlight w:val="none"/>
          <w:u w:val="single"/>
          <w:lang w:val="en-US" w:eastAsia="zh-CN"/>
        </w:rPr>
      </w:pPr>
      <w:r>
        <w:rPr>
          <w:rFonts w:hint="eastAsia" w:hAnsi="宋体" w:cs="黑体"/>
          <w:color w:val="auto"/>
          <w:sz w:val="32"/>
          <w:szCs w:val="32"/>
          <w:highlight w:val="none"/>
          <w:lang w:val="en-US" w:eastAsia="zh-CN"/>
        </w:rPr>
        <w:t>项目</w:t>
      </w:r>
      <w:r>
        <w:rPr>
          <w:rFonts w:hint="eastAsia" w:hAnsi="宋体" w:cs="黑体"/>
          <w:color w:val="auto"/>
          <w:sz w:val="32"/>
          <w:szCs w:val="32"/>
          <w:highlight w:val="none"/>
        </w:rPr>
        <w:t>地点：</w:t>
      </w:r>
      <w:r>
        <w:rPr>
          <w:rFonts w:hint="eastAsia" w:hAnsi="宋体" w:cs="黑体"/>
          <w:color w:val="auto"/>
          <w:sz w:val="32"/>
          <w:szCs w:val="32"/>
          <w:highlight w:val="none"/>
          <w:u w:val="single"/>
        </w:rPr>
        <w:t xml:space="preserve">东莞市麻涌镇大步村海心沙岛 </w:t>
      </w:r>
    </w:p>
    <w:p w14:paraId="3FB83B50">
      <w:pPr>
        <w:widowControl/>
        <w:wordWrap w:val="0"/>
        <w:snapToGrid/>
        <w:spacing w:line="360" w:lineRule="auto"/>
        <w:ind w:firstLine="320" w:firstLineChars="100"/>
        <w:rPr>
          <w:rFonts w:hint="default" w:hAnsi="宋体" w:eastAsia="宋体" w:cs="黑体"/>
          <w:color w:val="auto"/>
          <w:sz w:val="32"/>
          <w:szCs w:val="32"/>
          <w:highlight w:val="none"/>
          <w:u w:val="single"/>
          <w:lang w:val="en-US" w:eastAsia="zh-CN"/>
        </w:rPr>
      </w:pPr>
      <w:r>
        <w:rPr>
          <w:rFonts w:hint="eastAsia" w:hAnsi="宋体" w:cs="黑体"/>
          <w:color w:val="auto"/>
          <w:sz w:val="32"/>
          <w:szCs w:val="32"/>
          <w:highlight w:val="none"/>
        </w:rPr>
        <w:t>委</w:t>
      </w:r>
      <w:r>
        <w:rPr>
          <w:rFonts w:hint="eastAsia" w:hAnsi="宋体" w:cs="黑体"/>
          <w:color w:val="auto"/>
          <w:sz w:val="32"/>
          <w:szCs w:val="32"/>
          <w:highlight w:val="none"/>
          <w:lang w:val="en-US" w:eastAsia="zh-CN"/>
        </w:rPr>
        <w:t xml:space="preserve"> </w:t>
      </w:r>
      <w:r>
        <w:rPr>
          <w:rFonts w:hint="eastAsia" w:hAnsi="宋体" w:cs="黑体"/>
          <w:color w:val="auto"/>
          <w:sz w:val="32"/>
          <w:szCs w:val="32"/>
          <w:highlight w:val="none"/>
        </w:rPr>
        <w:t>托</w:t>
      </w:r>
      <w:r>
        <w:rPr>
          <w:rFonts w:hint="eastAsia" w:hAnsi="宋体" w:cs="黑体"/>
          <w:color w:val="auto"/>
          <w:sz w:val="32"/>
          <w:szCs w:val="32"/>
          <w:highlight w:val="none"/>
          <w:lang w:val="en-US" w:eastAsia="zh-CN"/>
        </w:rPr>
        <w:t xml:space="preserve"> 方</w:t>
      </w:r>
      <w:r>
        <w:rPr>
          <w:rFonts w:hint="eastAsia" w:hAnsi="宋体" w:cs="黑体"/>
          <w:color w:val="auto"/>
          <w:sz w:val="32"/>
          <w:szCs w:val="32"/>
          <w:highlight w:val="none"/>
        </w:rPr>
        <w:t>：</w:t>
      </w:r>
      <w:r>
        <w:rPr>
          <w:rFonts w:hint="eastAsia" w:hAnsi="宋体" w:cs="黑体"/>
          <w:color w:val="auto"/>
          <w:sz w:val="32"/>
          <w:szCs w:val="32"/>
          <w:highlight w:val="none"/>
          <w:u w:val="single"/>
          <w:lang w:eastAsia="zh-CN"/>
        </w:rPr>
        <w:t>广东东实环境股份有限公司</w:t>
      </w:r>
      <w:r>
        <w:rPr>
          <w:rFonts w:hint="eastAsia" w:hAnsi="宋体" w:cs="黑体"/>
          <w:color w:val="auto"/>
          <w:sz w:val="32"/>
          <w:szCs w:val="32"/>
          <w:highlight w:val="none"/>
          <w:u w:val="single"/>
          <w:lang w:val="en-US" w:eastAsia="zh-CN"/>
        </w:rPr>
        <w:t xml:space="preserve"> </w:t>
      </w:r>
    </w:p>
    <w:p w14:paraId="41E5EE43">
      <w:pPr>
        <w:widowControl/>
        <w:wordWrap w:val="0"/>
        <w:snapToGrid/>
        <w:spacing w:line="360" w:lineRule="auto"/>
        <w:ind w:firstLine="320" w:firstLineChars="100"/>
        <w:rPr>
          <w:rFonts w:hint="default" w:hAnsi="宋体" w:eastAsia="宋体" w:cs="黑体"/>
          <w:color w:val="auto"/>
          <w:sz w:val="32"/>
          <w:szCs w:val="32"/>
          <w:highlight w:val="none"/>
          <w:u w:val="single"/>
          <w:lang w:val="en-US" w:eastAsia="zh-CN"/>
        </w:rPr>
      </w:pPr>
      <w:r>
        <w:rPr>
          <w:rFonts w:hint="eastAsia" w:hAnsi="宋体" w:cs="黑体"/>
          <w:color w:val="auto"/>
          <w:sz w:val="32"/>
          <w:szCs w:val="32"/>
          <w:highlight w:val="none"/>
          <w:lang w:val="en-US" w:eastAsia="zh-CN"/>
        </w:rPr>
        <w:t>受 托 方</w:t>
      </w:r>
      <w:r>
        <w:rPr>
          <w:rFonts w:hint="eastAsia" w:hAnsi="宋体" w:cs="黑体"/>
          <w:color w:val="auto"/>
          <w:sz w:val="32"/>
          <w:szCs w:val="32"/>
          <w:highlight w:val="none"/>
        </w:rPr>
        <w:t>：</w:t>
      </w:r>
      <w:r>
        <w:rPr>
          <w:rFonts w:hint="eastAsia" w:hAnsi="宋体" w:cs="黑体"/>
          <w:color w:val="auto"/>
          <w:sz w:val="32"/>
          <w:szCs w:val="32"/>
          <w:highlight w:val="none"/>
          <w:u w:val="single"/>
          <w:lang w:val="en-US" w:eastAsia="zh-CN"/>
        </w:rPr>
        <w:t xml:space="preserve">                         </w:t>
      </w:r>
    </w:p>
    <w:p w14:paraId="6A37D265">
      <w:pPr>
        <w:widowControl/>
        <w:wordWrap w:val="0"/>
        <w:spacing w:line="360" w:lineRule="auto"/>
        <w:ind w:firstLine="3040" w:firstLineChars="950"/>
        <w:rPr>
          <w:rFonts w:hAnsi="宋体" w:cs="黑体"/>
          <w:color w:val="auto"/>
          <w:sz w:val="32"/>
          <w:szCs w:val="32"/>
          <w:highlight w:val="none"/>
        </w:rPr>
      </w:pPr>
    </w:p>
    <w:p w14:paraId="7695673D">
      <w:pPr>
        <w:widowControl/>
        <w:wordWrap w:val="0"/>
        <w:spacing w:line="360" w:lineRule="auto"/>
        <w:ind w:firstLine="3520" w:firstLineChars="1100"/>
        <w:rPr>
          <w:rFonts w:hAnsi="宋体" w:cs="黑体"/>
          <w:color w:val="auto"/>
          <w:sz w:val="32"/>
          <w:szCs w:val="32"/>
          <w:highlight w:val="none"/>
        </w:rPr>
      </w:pPr>
    </w:p>
    <w:p w14:paraId="073B38FE">
      <w:pPr>
        <w:jc w:val="center"/>
        <w:rPr>
          <w:rFonts w:hint="eastAsia"/>
          <w:color w:val="auto"/>
          <w:sz w:val="28"/>
          <w:szCs w:val="28"/>
          <w:highlight w:val="none"/>
        </w:rPr>
      </w:pPr>
      <w:r>
        <w:rPr>
          <w:rFonts w:hint="eastAsia" w:hAnsi="宋体" w:cs="黑体"/>
          <w:color w:val="auto"/>
          <w:sz w:val="32"/>
          <w:szCs w:val="32"/>
          <w:highlight w:val="none"/>
        </w:rPr>
        <w:t>年    月    日</w:t>
      </w:r>
      <w:bookmarkStart w:id="178" w:name="_Toc17124"/>
      <w:r>
        <w:rPr>
          <w:rFonts w:hint="eastAsia"/>
          <w:color w:val="auto"/>
          <w:sz w:val="28"/>
          <w:szCs w:val="28"/>
          <w:highlight w:val="none"/>
        </w:rPr>
        <w:br w:type="page"/>
      </w:r>
    </w:p>
    <w:p w14:paraId="150572B3">
      <w:pPr>
        <w:keepNext w:val="0"/>
        <w:keepLines w:val="0"/>
        <w:pageBreakBefore w:val="0"/>
        <w:kinsoku/>
        <w:wordWrap/>
        <w:overflowPunct/>
        <w:topLinePunct w:val="0"/>
        <w:autoSpaceDE/>
        <w:autoSpaceDN/>
        <w:bidi w:val="0"/>
        <w:adjustRightInd/>
        <w:snapToGrid/>
        <w:spacing w:line="360" w:lineRule="auto"/>
        <w:jc w:val="center"/>
        <w:textAlignment w:val="auto"/>
        <w:rPr>
          <w:rFonts w:ascii="宋体" w:hAnsi="宋体"/>
          <w:sz w:val="24"/>
          <w:szCs w:val="24"/>
        </w:rPr>
      </w:pPr>
      <w:r>
        <w:rPr>
          <w:rFonts w:hint="eastAsia" w:eastAsia="仿宋_GB2312"/>
          <w:b/>
          <w:sz w:val="32"/>
          <w:szCs w:val="32"/>
          <w:lang w:eastAsia="zh-CN"/>
        </w:rPr>
        <w:t>麻涌餐厨项目预处理系统提效工程环保技术服务项目（重新采购）</w:t>
      </w:r>
      <w:r>
        <w:rPr>
          <w:rFonts w:hint="eastAsia" w:eastAsia="仿宋_GB2312"/>
          <w:b/>
          <w:sz w:val="32"/>
          <w:szCs w:val="32"/>
          <w:lang w:val="en-US" w:eastAsia="zh-CN"/>
        </w:rPr>
        <w:t>合同</w:t>
      </w:r>
    </w:p>
    <w:p w14:paraId="5C11CD4E">
      <w:pPr>
        <w:keepNext w:val="0"/>
        <w:keepLines w:val="0"/>
        <w:pageBreakBefore w:val="0"/>
        <w:kinsoku/>
        <w:wordWrap/>
        <w:overflowPunct/>
        <w:topLinePunct w:val="0"/>
        <w:autoSpaceDE/>
        <w:autoSpaceDN/>
        <w:bidi w:val="0"/>
        <w:adjustRightInd/>
        <w:snapToGrid/>
        <w:spacing w:line="360" w:lineRule="auto"/>
        <w:jc w:val="right"/>
        <w:textAlignment w:val="auto"/>
        <w:rPr>
          <w:rFonts w:ascii="宋体" w:hAnsi="宋体"/>
          <w:b/>
          <w:sz w:val="32"/>
          <w:szCs w:val="32"/>
        </w:rPr>
      </w:pPr>
    </w:p>
    <w:p w14:paraId="6430B37F">
      <w:pPr>
        <w:keepNext w:val="0"/>
        <w:keepLines w:val="0"/>
        <w:pageBreakBefore w:val="0"/>
        <w:kinsoku/>
        <w:wordWrap/>
        <w:overflowPunct/>
        <w:topLinePunct w:val="0"/>
        <w:autoSpaceDE/>
        <w:autoSpaceDN/>
        <w:bidi w:val="0"/>
        <w:adjustRightInd/>
        <w:snapToGrid/>
        <w:spacing w:line="360" w:lineRule="auto"/>
        <w:textAlignment w:val="auto"/>
        <w:rPr>
          <w:rFonts w:ascii="宋体" w:hAnsi="宋体"/>
          <w:bCs/>
          <w:kern w:val="0"/>
          <w:sz w:val="24"/>
          <w:szCs w:val="24"/>
        </w:rPr>
      </w:pPr>
      <w:r>
        <w:rPr>
          <w:rFonts w:ascii="宋体" w:hAnsi="宋体"/>
          <w:bCs/>
          <w:kern w:val="0"/>
          <w:sz w:val="24"/>
          <w:szCs w:val="24"/>
        </w:rPr>
        <w:t>甲方（委托方）：</w:t>
      </w:r>
      <w:r>
        <w:rPr>
          <w:rFonts w:hint="eastAsia" w:ascii="宋体" w:hAnsi="宋体"/>
          <w:bCs/>
          <w:kern w:val="0"/>
          <w:sz w:val="24"/>
          <w:szCs w:val="24"/>
          <w:lang w:val="en-US" w:eastAsia="zh-CN"/>
        </w:rPr>
        <w:t>广东东实环境股份有限</w:t>
      </w:r>
      <w:r>
        <w:rPr>
          <w:rFonts w:hint="eastAsia" w:ascii="宋体" w:hAnsi="宋体"/>
          <w:bCs/>
          <w:kern w:val="0"/>
          <w:sz w:val="24"/>
          <w:szCs w:val="24"/>
        </w:rPr>
        <w:t>公司</w:t>
      </w:r>
    </w:p>
    <w:p w14:paraId="142BE4EC">
      <w:pPr>
        <w:keepNext w:val="0"/>
        <w:keepLines w:val="0"/>
        <w:pageBreakBefore w:val="0"/>
        <w:tabs>
          <w:tab w:val="left" w:pos="6215"/>
        </w:tabs>
        <w:kinsoku/>
        <w:wordWrap/>
        <w:overflowPunct/>
        <w:topLinePunct w:val="0"/>
        <w:autoSpaceDE/>
        <w:autoSpaceDN/>
        <w:bidi w:val="0"/>
        <w:adjustRightInd/>
        <w:snapToGrid/>
        <w:spacing w:line="360" w:lineRule="auto"/>
        <w:textAlignment w:val="auto"/>
        <w:rPr>
          <w:rFonts w:hint="eastAsia" w:ascii="宋体" w:hAnsi="宋体" w:eastAsiaTheme="minorEastAsia"/>
          <w:bCs/>
          <w:kern w:val="0"/>
          <w:sz w:val="24"/>
          <w:szCs w:val="24"/>
          <w:lang w:eastAsia="zh-CN"/>
        </w:rPr>
      </w:pPr>
      <w:r>
        <w:rPr>
          <w:rFonts w:hint="eastAsia" w:ascii="宋体" w:hAnsi="宋体"/>
          <w:bCs/>
          <w:kern w:val="0"/>
          <w:sz w:val="24"/>
          <w:szCs w:val="24"/>
        </w:rPr>
        <w:t>统一社会信用代码：</w:t>
      </w:r>
      <w:r>
        <w:rPr>
          <w:rFonts w:hint="eastAsia" w:ascii="宋体" w:hAnsi="宋体"/>
          <w:bCs/>
          <w:kern w:val="0"/>
          <w:sz w:val="24"/>
          <w:szCs w:val="24"/>
          <w:lang w:eastAsia="zh-CN"/>
        </w:rPr>
        <w:tab/>
      </w:r>
    </w:p>
    <w:p w14:paraId="3A677435">
      <w:pPr>
        <w:keepNext w:val="0"/>
        <w:keepLines w:val="0"/>
        <w:pageBreakBefore w:val="0"/>
        <w:kinsoku/>
        <w:wordWrap/>
        <w:overflowPunct/>
        <w:topLinePunct w:val="0"/>
        <w:autoSpaceDE/>
        <w:autoSpaceDN/>
        <w:bidi w:val="0"/>
        <w:adjustRightInd/>
        <w:snapToGrid/>
        <w:spacing w:line="360" w:lineRule="auto"/>
        <w:textAlignment w:val="auto"/>
        <w:rPr>
          <w:rFonts w:ascii="宋体" w:hAnsi="宋体"/>
          <w:bCs/>
          <w:kern w:val="0"/>
          <w:sz w:val="24"/>
          <w:szCs w:val="24"/>
        </w:rPr>
      </w:pPr>
    </w:p>
    <w:p w14:paraId="220CE446">
      <w:pPr>
        <w:keepNext w:val="0"/>
        <w:keepLines w:val="0"/>
        <w:pageBreakBefore w:val="0"/>
        <w:kinsoku/>
        <w:wordWrap/>
        <w:overflowPunct/>
        <w:topLinePunct w:val="0"/>
        <w:autoSpaceDE/>
        <w:autoSpaceDN/>
        <w:bidi w:val="0"/>
        <w:adjustRightInd/>
        <w:snapToGrid/>
        <w:spacing w:line="360" w:lineRule="auto"/>
        <w:textAlignment w:val="auto"/>
        <w:rPr>
          <w:rFonts w:hint="default" w:ascii="宋体" w:hAnsi="宋体" w:eastAsia="宋体" w:cs="仿宋_GB2312"/>
          <w:bCs/>
          <w:kern w:val="0"/>
          <w:sz w:val="24"/>
          <w:szCs w:val="24"/>
          <w:lang w:val="en-US" w:eastAsia="zh-CN"/>
        </w:rPr>
      </w:pPr>
      <w:r>
        <w:rPr>
          <w:rFonts w:ascii="宋体" w:hAnsi="宋体"/>
          <w:bCs/>
          <w:kern w:val="0"/>
          <w:sz w:val="24"/>
          <w:szCs w:val="24"/>
        </w:rPr>
        <w:t>乙方（受托方）：</w:t>
      </w:r>
      <w:r>
        <w:rPr>
          <w:rFonts w:hint="eastAsia" w:ascii="宋体" w:hAnsi="宋体" w:cs="仿宋_GB2312"/>
          <w:bCs/>
          <w:kern w:val="0"/>
          <w:sz w:val="24"/>
          <w:szCs w:val="24"/>
          <w:lang w:val="en-US" w:eastAsia="zh-CN"/>
        </w:rPr>
        <w:t xml:space="preserve">                          </w:t>
      </w:r>
    </w:p>
    <w:p w14:paraId="2D73BBC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bCs/>
          <w:kern w:val="0"/>
          <w:sz w:val="24"/>
          <w:szCs w:val="24"/>
        </w:rPr>
      </w:pPr>
      <w:r>
        <w:rPr>
          <w:rFonts w:hint="eastAsia" w:ascii="宋体" w:hAnsi="宋体"/>
          <w:bCs/>
          <w:kern w:val="0"/>
          <w:sz w:val="24"/>
          <w:szCs w:val="24"/>
        </w:rPr>
        <w:t>统一社会信用代码：</w:t>
      </w:r>
    </w:p>
    <w:p w14:paraId="77ED3564">
      <w:pPr>
        <w:keepNext w:val="0"/>
        <w:keepLines w:val="0"/>
        <w:pageBreakBefore w:val="0"/>
        <w:kinsoku/>
        <w:wordWrap/>
        <w:overflowPunct/>
        <w:topLinePunct w:val="0"/>
        <w:autoSpaceDE/>
        <w:autoSpaceDN/>
        <w:bidi w:val="0"/>
        <w:adjustRightInd/>
        <w:snapToGrid/>
        <w:spacing w:line="360" w:lineRule="auto"/>
        <w:textAlignment w:val="auto"/>
        <w:rPr>
          <w:rFonts w:ascii="宋体" w:hAnsi="宋体"/>
          <w:sz w:val="24"/>
          <w:szCs w:val="24"/>
        </w:rPr>
      </w:pPr>
    </w:p>
    <w:p w14:paraId="01F9BDE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sz w:val="24"/>
          <w:szCs w:val="24"/>
        </w:rPr>
      </w:pPr>
      <w:r>
        <w:rPr>
          <w:rFonts w:hint="eastAsia" w:ascii="宋体" w:hAnsi="宋体"/>
          <w:sz w:val="24"/>
          <w:szCs w:val="24"/>
        </w:rPr>
        <w:t>根据《中华人民共和国民法典》《中华人民共和国生态环境法典》及其他有关法律、法规规定，遵循平等、自愿、公平和诚实信用的原则，甲、乙双方就</w:t>
      </w:r>
      <w:r>
        <w:rPr>
          <w:rFonts w:hint="eastAsia" w:ascii="宋体" w:hAnsi="宋体"/>
          <w:sz w:val="24"/>
          <w:szCs w:val="24"/>
          <w:u w:val="single"/>
          <w:lang w:val="en-US" w:eastAsia="zh-CN"/>
        </w:rPr>
        <w:t xml:space="preserve"> </w:t>
      </w:r>
      <w:r>
        <w:rPr>
          <w:rFonts w:hint="eastAsia" w:ascii="宋体" w:hAnsi="宋体"/>
          <w:sz w:val="24"/>
          <w:szCs w:val="24"/>
          <w:u w:val="single"/>
          <w:lang w:eastAsia="zh-CN"/>
        </w:rPr>
        <w:t>麻涌餐厨项目预处理系统提效工程环保技术服务项目（重新采购）</w:t>
      </w:r>
      <w:r>
        <w:rPr>
          <w:rFonts w:hint="eastAsia" w:ascii="宋体" w:hAnsi="宋体"/>
          <w:sz w:val="24"/>
          <w:szCs w:val="24"/>
          <w:u w:val="single"/>
          <w:lang w:val="en-US" w:eastAsia="zh-CN"/>
        </w:rPr>
        <w:t xml:space="preserve"> </w:t>
      </w:r>
      <w:r>
        <w:rPr>
          <w:rFonts w:hint="eastAsia" w:ascii="宋体" w:hAnsi="宋体"/>
          <w:sz w:val="24"/>
          <w:szCs w:val="24"/>
          <w:u w:val="none"/>
        </w:rPr>
        <w:t>事宜</w:t>
      </w:r>
      <w:r>
        <w:rPr>
          <w:rFonts w:hint="eastAsia" w:ascii="宋体" w:hAnsi="宋体"/>
          <w:sz w:val="24"/>
          <w:szCs w:val="24"/>
        </w:rPr>
        <w:t>协商一致，特订立本合同，由甲、乙双方共同遵守履行。</w:t>
      </w:r>
    </w:p>
    <w:p w14:paraId="5314184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b/>
          <w:sz w:val="24"/>
          <w:szCs w:val="24"/>
        </w:rPr>
      </w:pPr>
      <w:r>
        <w:rPr>
          <w:rFonts w:asciiTheme="minorEastAsia" w:hAnsiTheme="minorEastAsia" w:eastAsiaTheme="minorEastAsia"/>
          <w:b/>
          <w:sz w:val="24"/>
          <w:szCs w:val="24"/>
        </w:rPr>
        <w:t>第一条</w:t>
      </w:r>
      <w:r>
        <w:rPr>
          <w:rFonts w:hint="eastAsia" w:asciiTheme="minorEastAsia" w:hAnsiTheme="minorEastAsia" w:eastAsiaTheme="minorEastAsia"/>
          <w:b/>
          <w:sz w:val="24"/>
          <w:szCs w:val="24"/>
        </w:rPr>
        <w:t xml:space="preserve"> 甲方委托乙方进行技术服务内容如下：</w:t>
      </w:r>
    </w:p>
    <w:p w14:paraId="50D561AE">
      <w:pPr>
        <w:keepNext w:val="0"/>
        <w:keepLines w:val="0"/>
        <w:pageBreakBefore w:val="0"/>
        <w:kinsoku/>
        <w:wordWrap/>
        <w:overflowPunct/>
        <w:topLinePunct w:val="0"/>
        <w:autoSpaceDE/>
        <w:autoSpaceDN/>
        <w:bidi w:val="0"/>
        <w:adjustRightInd/>
        <w:snapToGrid/>
        <w:spacing w:line="360" w:lineRule="auto"/>
        <w:ind w:firstLine="482" w:firstLineChars="200"/>
        <w:textAlignment w:val="auto"/>
        <w:outlineLvl w:val="9"/>
        <w:rPr>
          <w:rFonts w:hint="default" w:ascii="宋体" w:hAnsi="宋体"/>
          <w:b/>
          <w:bCs/>
          <w:sz w:val="24"/>
          <w:szCs w:val="24"/>
          <w:lang w:val="en-US"/>
        </w:rPr>
      </w:pPr>
      <w:r>
        <w:rPr>
          <w:rFonts w:hint="eastAsia" w:ascii="宋体" w:hAnsi="宋体"/>
          <w:b/>
          <w:bCs/>
          <w:sz w:val="24"/>
          <w:szCs w:val="24"/>
          <w:lang w:val="en-US" w:eastAsia="zh-CN"/>
        </w:rPr>
        <w:t>一</w:t>
      </w:r>
      <w:r>
        <w:rPr>
          <w:rFonts w:hint="eastAsia" w:ascii="宋体" w:hAnsi="宋体"/>
          <w:b/>
          <w:bCs/>
          <w:sz w:val="24"/>
          <w:szCs w:val="24"/>
          <w:lang w:eastAsia="zh-CN"/>
        </w:rPr>
        <w:t>、</w:t>
      </w:r>
      <w:r>
        <w:rPr>
          <w:rFonts w:hint="eastAsia" w:ascii="宋体" w:hAnsi="宋体"/>
          <w:b/>
          <w:bCs/>
          <w:sz w:val="24"/>
          <w:szCs w:val="24"/>
          <w:lang w:val="en-US" w:eastAsia="zh-CN"/>
        </w:rPr>
        <w:t>项目范围及要求</w:t>
      </w:r>
    </w:p>
    <w:p w14:paraId="1A48D3EF">
      <w:pPr>
        <w:keepNext w:val="0"/>
        <w:keepLines w:val="0"/>
        <w:pageBreakBefore w:val="0"/>
        <w:kinsoku/>
        <w:wordWrap/>
        <w:overflowPunct/>
        <w:topLinePunct w:val="0"/>
        <w:autoSpaceDE/>
        <w:autoSpaceDN/>
        <w:bidi w:val="0"/>
        <w:adjustRightInd/>
        <w:snapToGrid/>
        <w:spacing w:line="360" w:lineRule="auto"/>
        <w:ind w:firstLine="496" w:firstLineChars="200"/>
        <w:textAlignment w:val="auto"/>
        <w:rPr>
          <w:rFonts w:hint="eastAsia"/>
          <w:bCs/>
          <w:spacing w:val="4"/>
          <w:sz w:val="24"/>
          <w:szCs w:val="24"/>
          <w:lang w:val="en-US" w:eastAsia="zh-CN"/>
        </w:rPr>
      </w:pPr>
      <w:bookmarkStart w:id="179" w:name="_Toc463859469"/>
      <w:bookmarkStart w:id="180" w:name="_Toc477194510"/>
      <w:r>
        <w:rPr>
          <w:rFonts w:hint="eastAsia"/>
          <w:bCs/>
          <w:spacing w:val="4"/>
          <w:sz w:val="24"/>
          <w:szCs w:val="24"/>
          <w:lang w:val="en-US" w:eastAsia="zh-CN"/>
        </w:rPr>
        <w:t>本次采购为一站式环保技术服务，包含项目环境影响评价服务、竣工环境保护验收服务、突发环境事件应急预案编制及备案服务三大模块，乙方需全程负责资料收集、现场勘查、报告编制、公示评审、备案归档、系统填报等全部工作，确保所有环保手续合法有效、符合生态环境主管部门监管要求，保障项目技改后顺利投产运营。</w:t>
      </w:r>
    </w:p>
    <w:bookmarkEnd w:id="179"/>
    <w:bookmarkEnd w:id="180"/>
    <w:p w14:paraId="7066A6B3">
      <w:pPr>
        <w:keepNext w:val="0"/>
        <w:keepLines w:val="0"/>
        <w:pageBreakBefore w:val="0"/>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b/>
          <w:bCs/>
          <w:sz w:val="24"/>
          <w:szCs w:val="24"/>
          <w:lang w:val="en-US" w:eastAsia="zh-CN"/>
        </w:rPr>
      </w:pPr>
      <w:r>
        <w:rPr>
          <w:rFonts w:hint="eastAsia" w:ascii="宋体" w:hAnsi="宋体"/>
          <w:b/>
          <w:bCs/>
          <w:sz w:val="24"/>
          <w:szCs w:val="24"/>
          <w:lang w:val="en-US" w:eastAsia="zh-CN"/>
        </w:rPr>
        <w:t>二、分项服务具体需求</w:t>
      </w:r>
    </w:p>
    <w:p w14:paraId="151FA463">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sz w:val="24"/>
          <w:szCs w:val="24"/>
          <w:lang w:val="en-US" w:eastAsia="zh-CN"/>
        </w:rPr>
      </w:pPr>
      <w:r>
        <w:rPr>
          <w:rFonts w:hint="eastAsia"/>
          <w:sz w:val="24"/>
          <w:szCs w:val="24"/>
          <w:lang w:val="en-US" w:eastAsia="zh-CN"/>
        </w:rPr>
        <w:t>（一）环境影响评价服务</w:t>
      </w:r>
    </w:p>
    <w:p w14:paraId="097121A5">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sz w:val="24"/>
          <w:szCs w:val="24"/>
          <w:lang w:val="en-US" w:eastAsia="zh-CN"/>
        </w:rPr>
      </w:pPr>
      <w:r>
        <w:rPr>
          <w:rFonts w:hint="eastAsia"/>
          <w:sz w:val="24"/>
          <w:szCs w:val="24"/>
          <w:lang w:val="en-US" w:eastAsia="zh-CN"/>
        </w:rPr>
        <w:t>结合本餐厨垃圾提效技改项目的建设内容、工艺变更、产能提升、污染物排放及处置方式等情况，按照国家及地方现行环保法律法规、环评技术导则开展本次技改项目环境影响评价工作，具体内容如下：</w:t>
      </w:r>
    </w:p>
    <w:p w14:paraId="33414C97">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b/>
          <w:bCs/>
          <w:sz w:val="24"/>
          <w:szCs w:val="24"/>
          <w:lang w:val="en-US" w:eastAsia="zh-CN"/>
        </w:rPr>
        <w:t>前期调研与资料梳理</w:t>
      </w:r>
      <w:r>
        <w:rPr>
          <w:rFonts w:hint="eastAsia" w:asciiTheme="minorEastAsia" w:hAnsiTheme="minorEastAsia" w:eastAsiaTheme="minorEastAsia" w:cstheme="minorEastAsia"/>
          <w:sz w:val="24"/>
          <w:szCs w:val="24"/>
          <w:lang w:val="en-US" w:eastAsia="zh-CN"/>
        </w:rPr>
        <w:t>：全面收集项目原有环评、验收、排污许可、工艺流程、设备清单、污染物处置方案等资料，现场勘查项目技改前后建设内容、厂区布局、环保设施、周边环境敏感点，核实技改后产能、工艺、产排污变化情况，明确本次技改环评评价重点。</w:t>
      </w:r>
    </w:p>
    <w:p w14:paraId="5CBA18A8">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b/>
          <w:bCs/>
          <w:sz w:val="24"/>
          <w:szCs w:val="24"/>
          <w:lang w:val="en-US" w:eastAsia="zh-CN"/>
        </w:rPr>
        <w:t>现状监测与评价</w:t>
      </w:r>
      <w:r>
        <w:rPr>
          <w:rFonts w:hint="eastAsia" w:asciiTheme="minorEastAsia" w:hAnsiTheme="minorEastAsia" w:eastAsiaTheme="minorEastAsia" w:cstheme="minorEastAsia"/>
          <w:sz w:val="24"/>
          <w:szCs w:val="24"/>
          <w:lang w:val="en-US" w:eastAsia="zh-CN"/>
        </w:rPr>
        <w:t>：根据环评规范要求，开展项目所在地大气、地表水、噪声、土壤及地下水环境现状调查与监测，分析现有环境质量达标情况，结合技改后生产工况，核算废气、废水、固废、噪声新增及整体产排污量。</w:t>
      </w:r>
    </w:p>
    <w:p w14:paraId="7DCB4506">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b/>
          <w:bCs/>
          <w:sz w:val="24"/>
          <w:szCs w:val="24"/>
          <w:lang w:val="en-US" w:eastAsia="zh-CN"/>
        </w:rPr>
        <w:t>环境影响预测分析：</w:t>
      </w:r>
      <w:r>
        <w:rPr>
          <w:rFonts w:hint="eastAsia" w:asciiTheme="minorEastAsia" w:hAnsiTheme="minorEastAsia" w:eastAsiaTheme="minorEastAsia" w:cstheme="minorEastAsia"/>
          <w:sz w:val="24"/>
          <w:szCs w:val="24"/>
          <w:lang w:val="en-US" w:eastAsia="zh-CN"/>
        </w:rPr>
        <w:t>重点分析水力制浆分选机运行过程中的污染物产生、排放特征，预判技改项目对周边生态环境的影响范围与影响程度，针对性分析浆料水解酸化工艺可行性、酸化后碳源产品质量标准、餐厨尾水回用、固渣外运养虫、污泥、杂渣、硫膏等固废焚烧处置、污水纳管外排等环节的环境合规性。</w:t>
      </w:r>
    </w:p>
    <w:p w14:paraId="222C0533">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b/>
          <w:bCs/>
          <w:sz w:val="24"/>
          <w:szCs w:val="24"/>
          <w:lang w:val="en-US" w:eastAsia="zh-CN"/>
        </w:rPr>
        <w:t>环保措施论证</w:t>
      </w:r>
      <w:r>
        <w:rPr>
          <w:rFonts w:hint="eastAsia" w:asciiTheme="minorEastAsia" w:hAnsiTheme="minorEastAsia" w:eastAsiaTheme="minorEastAsia" w:cstheme="minorEastAsia"/>
          <w:sz w:val="24"/>
          <w:szCs w:val="24"/>
          <w:lang w:val="en-US" w:eastAsia="zh-CN"/>
        </w:rPr>
        <w:t>：结合项目技改特点，论证现有环保设施的适配性，核实技改后不新增污水处置能力、不增加外排许可排放水量的合规性及可行性，优化完善废气治理、噪声防控、固废规范处置、环境风险防控等环保措施，确保各项污染物稳定达标排放。</w:t>
      </w:r>
    </w:p>
    <w:p w14:paraId="1B9091ED">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b/>
          <w:bCs/>
          <w:sz w:val="24"/>
          <w:szCs w:val="24"/>
          <w:lang w:val="en-US" w:eastAsia="zh-CN"/>
        </w:rPr>
        <w:t>报告编制与报审</w:t>
      </w:r>
      <w:r>
        <w:rPr>
          <w:rFonts w:hint="eastAsia" w:asciiTheme="minorEastAsia" w:hAnsiTheme="minorEastAsia" w:eastAsiaTheme="minorEastAsia" w:cstheme="minorEastAsia"/>
          <w:sz w:val="24"/>
          <w:szCs w:val="24"/>
          <w:lang w:val="en-US" w:eastAsia="zh-CN"/>
        </w:rPr>
        <w:t>：规范编制本次技改项目环境影响评价报告书，完成项目公示、专家评审、修改完善等全部工作，直至取得生态环境主管部门出具的环评批复文件，完成全部环评手续。</w:t>
      </w:r>
    </w:p>
    <w:p w14:paraId="03266A98">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sz w:val="24"/>
          <w:szCs w:val="24"/>
          <w:lang w:val="en-US" w:eastAsia="zh-CN"/>
        </w:rPr>
      </w:pPr>
      <w:r>
        <w:rPr>
          <w:rFonts w:hint="eastAsia"/>
          <w:sz w:val="24"/>
          <w:szCs w:val="24"/>
          <w:lang w:val="en-US" w:eastAsia="zh-CN"/>
        </w:rPr>
        <w:t>（二）竣工环境保护验收服务</w:t>
      </w:r>
    </w:p>
    <w:p w14:paraId="66A284BB">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sz w:val="24"/>
          <w:szCs w:val="24"/>
          <w:lang w:val="en-US" w:eastAsia="zh-CN"/>
        </w:rPr>
      </w:pPr>
      <w:r>
        <w:rPr>
          <w:rFonts w:hint="eastAsia"/>
          <w:sz w:val="24"/>
          <w:szCs w:val="24"/>
          <w:lang w:val="en-US" w:eastAsia="zh-CN"/>
        </w:rPr>
        <w:t>项目技改完成、设备调试到位后，依据《建设项目竣工环境保护验收暂行办法》等规范要求，开展项目竣工环保验收全流程技术服务，核实项目环保设施建设、污染物排放、环保措施落实情况，具体如下：</w:t>
      </w:r>
    </w:p>
    <w:p w14:paraId="6169070C">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val="0"/>
          <w:bCs w:val="0"/>
          <w:sz w:val="24"/>
          <w:szCs w:val="24"/>
          <w:lang w:val="en-US" w:eastAsia="zh-CN"/>
        </w:rPr>
        <w:t>1</w:t>
      </w:r>
      <w:r>
        <w:rPr>
          <w:rFonts w:hint="eastAsia" w:asciiTheme="minorEastAsia" w:hAnsiTheme="minorEastAsia" w:eastAsiaTheme="minorEastAsia" w:cstheme="minorEastAsia"/>
          <w:b/>
          <w:bCs/>
          <w:sz w:val="24"/>
          <w:szCs w:val="24"/>
          <w:lang w:val="en-US" w:eastAsia="zh-CN"/>
        </w:rPr>
        <w:t>.验收核查与监测方案制定：</w:t>
      </w:r>
      <w:r>
        <w:rPr>
          <w:rFonts w:hint="eastAsia" w:asciiTheme="minorEastAsia" w:hAnsiTheme="minorEastAsia" w:eastAsiaTheme="minorEastAsia" w:cstheme="minorEastAsia"/>
          <w:sz w:val="24"/>
          <w:szCs w:val="24"/>
          <w:lang w:val="en-US" w:eastAsia="zh-CN"/>
        </w:rPr>
        <w:t>对照环评批复及现行环保标准，全面核查技改项目建设内容、预处理工艺改造、环保设施配套、污染物处置流程落实情况，制定专项竣工环保验收监测方案，明确监测点位、监测因子、监测频次。</w:t>
      </w:r>
    </w:p>
    <w:p w14:paraId="393E4186">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val="0"/>
          <w:bCs w:val="0"/>
          <w:sz w:val="24"/>
          <w:szCs w:val="24"/>
          <w:lang w:val="en-US" w:eastAsia="zh-CN"/>
        </w:rPr>
        <w:t>2</w:t>
      </w:r>
      <w:r>
        <w:rPr>
          <w:rFonts w:hint="eastAsia" w:asciiTheme="minorEastAsia" w:hAnsiTheme="minorEastAsia" w:eastAsiaTheme="minorEastAsia" w:cstheme="minorEastAsia"/>
          <w:b/>
          <w:bCs/>
          <w:sz w:val="24"/>
          <w:szCs w:val="24"/>
          <w:lang w:val="en-US" w:eastAsia="zh-CN"/>
        </w:rPr>
        <w:t>.现场监测与数据核算：</w:t>
      </w:r>
      <w:r>
        <w:rPr>
          <w:rFonts w:hint="eastAsia" w:asciiTheme="minorEastAsia" w:hAnsiTheme="minorEastAsia" w:eastAsiaTheme="minorEastAsia" w:cstheme="minorEastAsia"/>
          <w:sz w:val="24"/>
          <w:szCs w:val="24"/>
          <w:lang w:val="en-US" w:eastAsia="zh-CN"/>
        </w:rPr>
        <w:t>组织开展现场采样监测，完成技改后废气、厂界噪声、污水外排水质等指标检测，核算项目整体及新增污染物排放总量，核实项目污水纳管排放总量、固废处置、碳源外供、有机料外售等关键环节合规性，确认技改未新增污水处理处置能力及纳管排放许可量。</w:t>
      </w:r>
    </w:p>
    <w:p w14:paraId="3600EBE3">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val="0"/>
          <w:bCs w:val="0"/>
          <w:sz w:val="24"/>
          <w:szCs w:val="24"/>
          <w:lang w:val="en-US" w:eastAsia="zh-CN"/>
        </w:rPr>
        <w:t>3</w:t>
      </w:r>
      <w:r>
        <w:rPr>
          <w:rFonts w:hint="eastAsia" w:asciiTheme="minorEastAsia" w:hAnsiTheme="minorEastAsia" w:eastAsiaTheme="minorEastAsia" w:cstheme="minorEastAsia"/>
          <w:b/>
          <w:bCs/>
          <w:sz w:val="24"/>
          <w:szCs w:val="24"/>
          <w:lang w:val="en-US" w:eastAsia="zh-CN"/>
        </w:rPr>
        <w:t>.验收报告编制：</w:t>
      </w:r>
      <w:r>
        <w:rPr>
          <w:rFonts w:hint="eastAsia" w:asciiTheme="minorEastAsia" w:hAnsiTheme="minorEastAsia" w:eastAsiaTheme="minorEastAsia" w:cstheme="minorEastAsia"/>
          <w:sz w:val="24"/>
          <w:szCs w:val="24"/>
          <w:lang w:val="en-US" w:eastAsia="zh-CN"/>
        </w:rPr>
        <w:t>根据监测数据、现场核查情况，编制《建设项目竣工环境保护验收监测报告》，梳理项目环保制度建设、环保设施运行、污染物达标排放、环境风险防控等内容，客观评价项目环保验收达标情况。</w:t>
      </w:r>
    </w:p>
    <w:p w14:paraId="39E21420">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val="0"/>
          <w:bCs w:val="0"/>
          <w:sz w:val="24"/>
          <w:szCs w:val="24"/>
          <w:lang w:val="en-US" w:eastAsia="zh-CN"/>
        </w:rPr>
        <w:t>4</w:t>
      </w:r>
      <w:r>
        <w:rPr>
          <w:rFonts w:hint="eastAsia" w:asciiTheme="minorEastAsia" w:hAnsiTheme="minorEastAsia" w:eastAsiaTheme="minorEastAsia" w:cstheme="minorEastAsia"/>
          <w:b/>
          <w:bCs/>
          <w:sz w:val="24"/>
          <w:szCs w:val="24"/>
          <w:lang w:val="en-US" w:eastAsia="zh-CN"/>
        </w:rPr>
        <w:t>.验收评审与备案公示</w:t>
      </w:r>
      <w:r>
        <w:rPr>
          <w:rFonts w:hint="eastAsia" w:asciiTheme="minorEastAsia" w:hAnsiTheme="minorEastAsia" w:eastAsiaTheme="minorEastAsia" w:cstheme="minorEastAsia"/>
          <w:sz w:val="24"/>
          <w:szCs w:val="24"/>
          <w:lang w:val="en-US" w:eastAsia="zh-CN"/>
        </w:rPr>
        <w:t>：协助组织竣工环保验收专家评审会，根据评审意见修改完善报告，完成项目验收公示，在全国建设项目竣工环境保护验收信息系统完成填报、备案，出具合法有效的验收备案成果，确保项目环保验收手续完整合规。</w:t>
      </w:r>
    </w:p>
    <w:p w14:paraId="13C32F41">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（三）突发环境事件应急预案服务</w:t>
      </w:r>
    </w:p>
    <w:p w14:paraId="3D01EC54">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结合本次麻涌餐厨预处理系统提效工程技改后新设备、产能提升带来的环境风险变化以及麻涌热电厂一二期现状，按照《突发环境事件应急预案管理暂行办法》及地方生态环境部门要求，编制项目突发环境事件应急预案，完成风险评估、资源调查、评审备案全流程工作，具体如下：</w:t>
      </w:r>
    </w:p>
    <w:p w14:paraId="7C3974E4">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val="0"/>
          <w:bCs w:val="0"/>
          <w:sz w:val="24"/>
          <w:szCs w:val="24"/>
          <w:lang w:val="en-US" w:eastAsia="zh-CN"/>
        </w:rPr>
        <w:t>1</w:t>
      </w:r>
      <w:r>
        <w:rPr>
          <w:rFonts w:hint="eastAsia" w:asciiTheme="minorEastAsia" w:hAnsiTheme="minorEastAsia" w:eastAsiaTheme="minorEastAsia" w:cstheme="minorEastAsia"/>
          <w:b/>
          <w:bCs/>
          <w:sz w:val="24"/>
          <w:szCs w:val="24"/>
          <w:lang w:val="en-US" w:eastAsia="zh-CN"/>
        </w:rPr>
        <w:t>.环境风险排查与评估：</w:t>
      </w:r>
      <w:r>
        <w:rPr>
          <w:rFonts w:hint="eastAsia" w:asciiTheme="minorEastAsia" w:hAnsiTheme="minorEastAsia" w:eastAsiaTheme="minorEastAsia" w:cstheme="minorEastAsia"/>
          <w:sz w:val="24"/>
          <w:szCs w:val="24"/>
          <w:lang w:val="en-US" w:eastAsia="zh-CN"/>
        </w:rPr>
        <w:t>全面排查生活垃圾焚烧项目焚烧发电、餐厨项目水力制浆、分选及洗油、餐厨浆料水解酸化制备碳源、渗滤液处理、餐厨污水处理、生活污水处理、固废危废（炉渣、飞灰、污泥、杂渣、固泥、硫泥、废氧化铁脱硫剂、废弃齿轮润滑油、废矿物油、废油桶、油漆桶、实验室废液、废布袋、废活性炭、废旧反渗透膜等）暂存及处置等环节的环境风险源。识别废水泄漏、沼气溢出、异味扩散、固废流失等突发环境风险，完成突发环境事件风险评估，确定风险等级。</w:t>
      </w:r>
    </w:p>
    <w:p w14:paraId="55FA7746">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val="0"/>
          <w:bCs w:val="0"/>
          <w:sz w:val="24"/>
          <w:szCs w:val="24"/>
          <w:lang w:val="en-US" w:eastAsia="zh-CN"/>
        </w:rPr>
        <w:t>2</w:t>
      </w:r>
      <w:r>
        <w:rPr>
          <w:rFonts w:hint="eastAsia" w:asciiTheme="minorEastAsia" w:hAnsiTheme="minorEastAsia" w:eastAsiaTheme="minorEastAsia" w:cstheme="minorEastAsia"/>
          <w:b/>
          <w:bCs/>
          <w:sz w:val="24"/>
          <w:szCs w:val="24"/>
          <w:lang w:val="en-US" w:eastAsia="zh-CN"/>
        </w:rPr>
        <w:t>.应急资源调查：</w:t>
      </w:r>
      <w:r>
        <w:rPr>
          <w:rFonts w:hint="eastAsia" w:asciiTheme="minorEastAsia" w:hAnsiTheme="minorEastAsia" w:eastAsiaTheme="minorEastAsia" w:cstheme="minorEastAsia"/>
          <w:sz w:val="24"/>
          <w:szCs w:val="24"/>
          <w:lang w:val="en-US" w:eastAsia="zh-CN"/>
        </w:rPr>
        <w:t>核查厂区现有应急物资、应急设备、应急队伍、应急处置能力，梳理周边可联动应急资源，编制环境应急资源调查报告，补齐应急资源短板，保障应急处置能力适配项目技改后工况。</w:t>
      </w:r>
    </w:p>
    <w:p w14:paraId="63620205">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val="0"/>
          <w:bCs w:val="0"/>
          <w:sz w:val="24"/>
          <w:szCs w:val="24"/>
          <w:lang w:val="en-US" w:eastAsia="zh-CN"/>
        </w:rPr>
        <w:t>3</w:t>
      </w:r>
      <w:r>
        <w:rPr>
          <w:rFonts w:hint="eastAsia" w:asciiTheme="minorEastAsia" w:hAnsiTheme="minorEastAsia" w:eastAsiaTheme="minorEastAsia" w:cstheme="minorEastAsia"/>
          <w:b/>
          <w:bCs/>
          <w:sz w:val="24"/>
          <w:szCs w:val="24"/>
          <w:lang w:val="en-US" w:eastAsia="zh-CN"/>
        </w:rPr>
        <w:t>.预案编制完善：</w:t>
      </w:r>
      <w:r>
        <w:rPr>
          <w:rFonts w:hint="eastAsia" w:asciiTheme="minorEastAsia" w:hAnsiTheme="minorEastAsia" w:eastAsiaTheme="minorEastAsia" w:cstheme="minorEastAsia"/>
          <w:sz w:val="24"/>
          <w:szCs w:val="24"/>
          <w:lang w:val="en-US" w:eastAsia="zh-CN"/>
        </w:rPr>
        <w:t>编制《突发环境事件应急预案》，明确应急组织机构、岗位职责、预警机制、应急响应流程、现场处置方案、善后处置、应急演练计划等内容，重点完善餐厨垃圾预处理、废水、沼气、固废相关突发环境事件的专项处置方案，确保预案针对性、可操作性强，与区域应急预案有效衔接。</w:t>
      </w:r>
    </w:p>
    <w:p w14:paraId="21609103">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val="0"/>
          <w:bCs w:val="0"/>
          <w:sz w:val="24"/>
          <w:szCs w:val="24"/>
          <w:lang w:val="en-US" w:eastAsia="zh-CN"/>
        </w:rPr>
        <w:t>4</w:t>
      </w:r>
      <w:r>
        <w:rPr>
          <w:rFonts w:hint="eastAsia" w:asciiTheme="minorEastAsia" w:hAnsiTheme="minorEastAsia" w:eastAsiaTheme="minorEastAsia" w:cstheme="minorEastAsia"/>
          <w:b/>
          <w:bCs/>
          <w:sz w:val="24"/>
          <w:szCs w:val="24"/>
          <w:lang w:val="en-US" w:eastAsia="zh-CN"/>
        </w:rPr>
        <w:t>.评审备案与交底：</w:t>
      </w:r>
      <w:r>
        <w:rPr>
          <w:rFonts w:hint="eastAsia" w:asciiTheme="minorEastAsia" w:hAnsiTheme="minorEastAsia" w:eastAsiaTheme="minorEastAsia" w:cstheme="minorEastAsia"/>
          <w:sz w:val="24"/>
          <w:szCs w:val="24"/>
          <w:lang w:val="en-US" w:eastAsia="zh-CN"/>
        </w:rPr>
        <w:t>协助组织预案专家评审，根据评审意见修改完善预案文本，完成企业内部公示，向生态环境主管部门完成应急预案备案，取得备案回执；同步完成预案技术交底，提供应急培训、演练指导资料。</w:t>
      </w:r>
    </w:p>
    <w:p w14:paraId="1730E003">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b/>
          <w:bCs/>
          <w:sz w:val="24"/>
          <w:szCs w:val="24"/>
          <w:lang w:val="en-US" w:eastAsia="zh-CN"/>
        </w:rPr>
      </w:pPr>
      <w:bookmarkStart w:id="181" w:name="_Toc9131"/>
      <w:r>
        <w:rPr>
          <w:rFonts w:hint="eastAsia"/>
          <w:b/>
          <w:bCs/>
          <w:sz w:val="24"/>
          <w:szCs w:val="24"/>
          <w:lang w:val="en-US" w:eastAsia="zh-CN"/>
        </w:rPr>
        <w:t>三、技术标准与合规要求</w:t>
      </w:r>
      <w:bookmarkEnd w:id="181"/>
    </w:p>
    <w:p w14:paraId="6D9418F7">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sz w:val="24"/>
          <w:szCs w:val="24"/>
          <w:lang w:val="en-US" w:eastAsia="zh-CN"/>
        </w:rPr>
      </w:pPr>
      <w:r>
        <w:rPr>
          <w:rFonts w:hint="eastAsia"/>
          <w:sz w:val="24"/>
          <w:szCs w:val="24"/>
        </w:rPr>
        <w:t>本次所有服务工作必须严格遵守中华人民共和国国家、广东省、东莞市及项目所在地现行有效的生态环境保护法律、行政法规、部门规章、地方性法规及规范性文件，以及现行有效的生态环境技术导则、技术规范和标准，主要包括但不限于：《中华人民共和国生态环境法典》、《建设项目环境保护管理条例》、《建设项目竣工环境保护验收暂行办法》、《突发环境事件应急管理办法》、《餐厨垃圾处理技术规范》以及环境影响评价技术导则体系和大气、水、固体废物、噪声、土壤等污染防治领域现行有效的国家、行业及地方排放标准与技术规范</w:t>
      </w:r>
      <w:r>
        <w:rPr>
          <w:rFonts w:hint="eastAsia"/>
          <w:sz w:val="24"/>
          <w:szCs w:val="24"/>
          <w:lang w:val="en-US" w:eastAsia="zh-CN"/>
        </w:rPr>
        <w:t>，确保所有成果文件合规合法、顺利通过评审及备案。</w:t>
      </w:r>
    </w:p>
    <w:p w14:paraId="4C039E3E">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sz w:val="24"/>
          <w:szCs w:val="24"/>
          <w:lang w:val="en-US" w:eastAsia="zh-CN"/>
        </w:rPr>
      </w:pPr>
      <w:r>
        <w:rPr>
          <w:rFonts w:hint="eastAsia"/>
          <w:sz w:val="24"/>
          <w:szCs w:val="24"/>
          <w:lang w:val="en-US" w:eastAsia="zh-CN"/>
        </w:rPr>
        <w:t>乙方需充分结合本项目技改核心特点：水力制浆分选机制浆、分选及洗油、浆料水解酸化后作为碳源外供、无新增污水外排总量、固废厂内焚烧处置、固渣养虫资源化渠道等关键内容开展工作，确保评价、验收、风险防控内容贴合项目实际，无遗漏、无错项。</w:t>
      </w:r>
    </w:p>
    <w:p w14:paraId="77FD5713">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b/>
          <w:bCs/>
          <w:sz w:val="24"/>
          <w:szCs w:val="24"/>
          <w:lang w:val="en-US" w:eastAsia="zh-CN"/>
        </w:rPr>
      </w:pPr>
      <w:bookmarkStart w:id="182" w:name="_Toc21849"/>
      <w:r>
        <w:rPr>
          <w:rFonts w:hint="eastAsia"/>
          <w:b/>
          <w:bCs/>
          <w:sz w:val="24"/>
          <w:szCs w:val="24"/>
          <w:lang w:val="en-US" w:eastAsia="zh-CN"/>
        </w:rPr>
        <w:t>四、交付成果要求</w:t>
      </w:r>
      <w:bookmarkEnd w:id="182"/>
    </w:p>
    <w:p w14:paraId="7DE0DFBE">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1.乙方需完整交付以下全套纸质版、电子版成果文件，纸质版</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套（含盖章原件），</w:t>
      </w:r>
      <w:r>
        <w:rPr>
          <w:rFonts w:hint="eastAsia" w:ascii="宋体" w:hAnsi="宋体" w:cs="宋体"/>
          <w:sz w:val="24"/>
          <w:szCs w:val="24"/>
          <w:lang w:val="en-US" w:eastAsia="zh-CN"/>
        </w:rPr>
        <w:t>1套</w:t>
      </w:r>
      <w:r>
        <w:rPr>
          <w:rFonts w:hint="eastAsia" w:ascii="宋体" w:hAnsi="宋体" w:eastAsia="宋体" w:cs="宋体"/>
          <w:sz w:val="24"/>
          <w:szCs w:val="24"/>
          <w:lang w:val="en-US" w:eastAsia="zh-CN"/>
        </w:rPr>
        <w:t>电子版全套归档文件（PDF+可编辑版本）：</w:t>
      </w:r>
    </w:p>
    <w:p w14:paraId="6B6EB60B">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2.技改项目环境影响评价报告及生态环境部门批复文件、公示资料、系统备案截图；</w:t>
      </w:r>
    </w:p>
    <w:p w14:paraId="33CCBB39">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3.项目竣工环境保护验收监测报告、验收意见、公示文件、全国验收系统备案资料；</w:t>
      </w:r>
    </w:p>
    <w:p w14:paraId="17AAE178">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4.突发环境事件风险评估报告、环境应急资源调查报告、突发环境事件应急预案文本、专家评审意见、备案回执；</w:t>
      </w:r>
    </w:p>
    <w:p w14:paraId="6E262D71">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sz w:val="24"/>
          <w:szCs w:val="24"/>
          <w:lang w:val="en-US" w:eastAsia="zh-CN"/>
        </w:rPr>
      </w:pPr>
      <w:r>
        <w:rPr>
          <w:rFonts w:hint="eastAsia" w:ascii="宋体" w:hAnsi="宋体" w:eastAsia="宋体" w:cs="宋体"/>
          <w:sz w:val="24"/>
          <w:szCs w:val="24"/>
          <w:lang w:val="en-US" w:eastAsia="zh-CN"/>
        </w:rPr>
        <w:t>5.项目全套环</w:t>
      </w:r>
      <w:r>
        <w:rPr>
          <w:rFonts w:hint="eastAsia"/>
          <w:sz w:val="24"/>
          <w:szCs w:val="24"/>
          <w:lang w:val="en-US" w:eastAsia="zh-CN"/>
        </w:rPr>
        <w:t>保技术服务台账、监测原始数据、评审资料、归档资料。</w:t>
      </w:r>
    </w:p>
    <w:p w14:paraId="4EACF03A">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b/>
          <w:sz w:val="24"/>
          <w:szCs w:val="24"/>
        </w:rPr>
      </w:pPr>
      <w:r>
        <w:rPr>
          <w:rFonts w:hint="eastAsia" w:asciiTheme="minorEastAsia" w:hAnsiTheme="minorEastAsia" w:eastAsiaTheme="minorEastAsia"/>
          <w:b/>
          <w:sz w:val="24"/>
          <w:szCs w:val="24"/>
        </w:rPr>
        <w:t>第二条</w:t>
      </w:r>
      <w:r>
        <w:rPr>
          <w:rFonts w:asciiTheme="minorEastAsia" w:hAnsiTheme="minorEastAsia" w:eastAsiaTheme="minorEastAsia"/>
          <w:b/>
          <w:sz w:val="24"/>
          <w:szCs w:val="24"/>
        </w:rPr>
        <w:t xml:space="preserve"> 乙方应当按下列要求完成技术服务工作</w:t>
      </w:r>
    </w:p>
    <w:p w14:paraId="2DB6EA7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asciiTheme="minorEastAsia" w:hAnsiTheme="minorEastAsia" w:eastAsiaTheme="minorEastAsia"/>
          <w:sz w:val="24"/>
          <w:szCs w:val="24"/>
        </w:rPr>
        <w:t>1</w:t>
      </w:r>
      <w:r>
        <w:rPr>
          <w:rFonts w:hint="eastAsia" w:asciiTheme="minorEastAsia" w:hAnsiTheme="minorEastAsia" w:eastAsiaTheme="minorEastAsia"/>
          <w:sz w:val="24"/>
          <w:szCs w:val="24"/>
        </w:rPr>
        <w:t>.</w:t>
      </w:r>
      <w:r>
        <w:rPr>
          <w:rFonts w:asciiTheme="minorEastAsia" w:hAnsiTheme="minorEastAsia" w:eastAsiaTheme="minorEastAsia"/>
          <w:sz w:val="24"/>
          <w:szCs w:val="24"/>
        </w:rPr>
        <w:t>服务地点：</w:t>
      </w:r>
      <w:r>
        <w:rPr>
          <w:rFonts w:hint="eastAsia" w:asciiTheme="minorEastAsia" w:hAnsiTheme="minorEastAsia" w:eastAsiaTheme="minorEastAsia"/>
          <w:sz w:val="24"/>
          <w:szCs w:val="24"/>
          <w:u w:val="single"/>
        </w:rPr>
        <w:t>东莞市麻涌镇大步村海心沙岛</w:t>
      </w:r>
      <w:r>
        <w:rPr>
          <w:rFonts w:hint="eastAsia" w:asciiTheme="minorEastAsia" w:hAnsiTheme="minorEastAsia" w:eastAsiaTheme="minorEastAsia"/>
          <w:sz w:val="24"/>
          <w:szCs w:val="24"/>
          <w:u w:val="single"/>
          <w:lang w:eastAsia="zh-CN"/>
        </w:rPr>
        <w:t>（</w:t>
      </w:r>
      <w:r>
        <w:rPr>
          <w:rFonts w:hint="eastAsia" w:asciiTheme="minorEastAsia" w:hAnsiTheme="minorEastAsia"/>
          <w:sz w:val="24"/>
          <w:szCs w:val="24"/>
          <w:u w:val="single"/>
          <w:lang w:val="en-US" w:eastAsia="zh-CN"/>
        </w:rPr>
        <w:t>广东东实环境股份</w:t>
      </w:r>
      <w:r>
        <w:rPr>
          <w:rFonts w:hint="eastAsia" w:asciiTheme="minorEastAsia" w:hAnsiTheme="minorEastAsia" w:eastAsiaTheme="minorEastAsia"/>
          <w:sz w:val="24"/>
          <w:szCs w:val="24"/>
          <w:u w:val="single"/>
        </w:rPr>
        <w:t>有限公司</w:t>
      </w:r>
      <w:r>
        <w:rPr>
          <w:rFonts w:hint="eastAsia" w:asciiTheme="minorEastAsia" w:hAnsiTheme="minorEastAsia" w:eastAsiaTheme="minorEastAsia"/>
          <w:sz w:val="24"/>
          <w:szCs w:val="24"/>
          <w:u w:val="single"/>
          <w:lang w:eastAsia="zh-CN"/>
        </w:rPr>
        <w:t>）</w:t>
      </w:r>
      <w:r>
        <w:rPr>
          <w:rFonts w:hint="eastAsia" w:asciiTheme="minorEastAsia" w:hAnsiTheme="minorEastAsia" w:eastAsiaTheme="minorEastAsia"/>
          <w:sz w:val="24"/>
          <w:szCs w:val="24"/>
          <w:u w:val="single"/>
        </w:rPr>
        <w:t>。</w:t>
      </w:r>
    </w:p>
    <w:p w14:paraId="2F2045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lang w:val="en-US" w:eastAsia="zh-CN"/>
        </w:rPr>
      </w:pPr>
      <w:r>
        <w:rPr>
          <w:rFonts w:asciiTheme="minorEastAsia" w:hAnsiTheme="minorEastAsia" w:eastAsiaTheme="minorEastAsia"/>
          <w:sz w:val="24"/>
          <w:szCs w:val="24"/>
        </w:rPr>
        <w:t>2</w:t>
      </w:r>
      <w:r>
        <w:rPr>
          <w:rFonts w:hint="eastAsia" w:asciiTheme="minorEastAsia" w:hAnsiTheme="minorEastAsia" w:eastAsiaTheme="minorEastAsia"/>
          <w:sz w:val="24"/>
          <w:szCs w:val="24"/>
        </w:rPr>
        <w:t>.</w:t>
      </w:r>
      <w:r>
        <w:rPr>
          <w:rFonts w:asciiTheme="minorEastAsia" w:hAnsiTheme="minorEastAsia" w:eastAsiaTheme="minorEastAsia"/>
          <w:sz w:val="24"/>
          <w:szCs w:val="24"/>
        </w:rPr>
        <w:t>服务期限：</w:t>
      </w:r>
      <w:r>
        <w:rPr>
          <w:rFonts w:hint="eastAsia" w:asciiTheme="minorEastAsia" w:hAnsiTheme="minorEastAsia" w:eastAsiaTheme="minorEastAsia"/>
          <w:sz w:val="24"/>
          <w:szCs w:val="24"/>
        </w:rPr>
        <w:t>合同签订之日起，</w:t>
      </w:r>
      <w:r>
        <w:rPr>
          <w:rFonts w:hint="eastAsia" w:asciiTheme="minorEastAsia" w:hAnsiTheme="minorEastAsia" w:eastAsiaTheme="minorEastAsia"/>
          <w:sz w:val="24"/>
          <w:szCs w:val="24"/>
          <w:lang w:val="en-US" w:eastAsia="zh-CN"/>
        </w:rPr>
        <w:t>乙方</w:t>
      </w:r>
      <w:r>
        <w:rPr>
          <w:rFonts w:hint="eastAsia" w:asciiTheme="minorEastAsia" w:hAnsiTheme="minorEastAsia" w:eastAsiaTheme="minorEastAsia"/>
          <w:sz w:val="24"/>
          <w:szCs w:val="24"/>
        </w:rPr>
        <w:t>需在约定时限内完成全部服务工作：资料收集及现场勘查3个工作日内完成，环评报告编制及报审、应急预案编制备案、竣工环保验收工作根据项目技改进度同步推进，确保所有环保手续在项目投产前全部办结</w:t>
      </w:r>
      <w:r>
        <w:rPr>
          <w:rFonts w:hint="eastAsia" w:asciiTheme="minorEastAsia" w:hAnsiTheme="minorEastAsia" w:eastAsiaTheme="minorEastAsia"/>
          <w:sz w:val="24"/>
          <w:szCs w:val="24"/>
          <w:lang w:val="en-US" w:eastAsia="zh-CN"/>
        </w:rPr>
        <w:t>。</w:t>
      </w:r>
    </w:p>
    <w:p w14:paraId="6FA461C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lang w:val="en-US" w:eastAsia="zh-CN"/>
        </w:rPr>
      </w:pPr>
      <w:r>
        <w:rPr>
          <w:rFonts w:hint="eastAsia" w:asciiTheme="minorEastAsia" w:hAnsiTheme="minorEastAsia"/>
          <w:sz w:val="24"/>
          <w:szCs w:val="24"/>
          <w:lang w:val="en-US" w:eastAsia="zh-CN"/>
        </w:rPr>
        <w:t>2</w:t>
      </w:r>
      <w:r>
        <w:rPr>
          <w:rFonts w:asciiTheme="minorEastAsia" w:hAnsiTheme="minorEastAsia" w:eastAsiaTheme="minorEastAsia"/>
          <w:sz w:val="24"/>
          <w:szCs w:val="24"/>
        </w:rPr>
        <w:t>.1</w:t>
      </w:r>
      <w:r>
        <w:rPr>
          <w:rFonts w:hint="eastAsia" w:asciiTheme="minorEastAsia" w:hAnsiTheme="minorEastAsia" w:eastAsiaTheme="minorEastAsia"/>
          <w:sz w:val="24"/>
          <w:szCs w:val="24"/>
          <w:lang w:val="en-US" w:eastAsia="zh-CN"/>
        </w:rPr>
        <w:t>环境影响评价服务期：</w:t>
      </w:r>
      <w:r>
        <w:rPr>
          <w:rFonts w:hint="eastAsia" w:asciiTheme="minorEastAsia" w:hAnsiTheme="minorEastAsia" w:eastAsiaTheme="minorEastAsia"/>
          <w:sz w:val="24"/>
          <w:szCs w:val="24"/>
          <w:u w:val="single"/>
          <w:lang w:val="en-US" w:eastAsia="zh-CN"/>
        </w:rPr>
        <w:t xml:space="preserve">       </w:t>
      </w:r>
      <w:r>
        <w:rPr>
          <w:rFonts w:hint="eastAsia" w:asciiTheme="minorEastAsia" w:hAnsiTheme="minorEastAsia" w:eastAsiaTheme="minorEastAsia"/>
          <w:sz w:val="24"/>
          <w:szCs w:val="24"/>
          <w:lang w:val="en-US" w:eastAsia="zh-CN"/>
        </w:rPr>
        <w:t>内取得项目环评批复</w:t>
      </w:r>
      <w:r>
        <w:rPr>
          <w:rFonts w:hint="eastAsia" w:asciiTheme="minorEastAsia" w:hAnsiTheme="minorEastAsia"/>
          <w:sz w:val="24"/>
          <w:szCs w:val="24"/>
          <w:lang w:val="en-US" w:eastAsia="zh-CN"/>
        </w:rPr>
        <w:t>（工期自本合同签订生效之日起起算，下同）</w:t>
      </w:r>
      <w:r>
        <w:rPr>
          <w:rFonts w:hint="eastAsia" w:asciiTheme="minorEastAsia" w:hAnsiTheme="minorEastAsia" w:eastAsiaTheme="minorEastAsia"/>
          <w:sz w:val="24"/>
          <w:szCs w:val="24"/>
          <w:lang w:val="en-US" w:eastAsia="zh-CN"/>
        </w:rPr>
        <w:t>。</w:t>
      </w:r>
    </w:p>
    <w:p w14:paraId="0942300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lang w:val="en-US" w:eastAsia="zh-CN"/>
        </w:rPr>
      </w:pPr>
      <w:r>
        <w:rPr>
          <w:rFonts w:hint="eastAsia" w:asciiTheme="minorEastAsia" w:hAnsiTheme="minorEastAsia"/>
          <w:sz w:val="24"/>
          <w:szCs w:val="24"/>
          <w:lang w:val="en-US" w:eastAsia="zh-CN"/>
        </w:rPr>
        <w:t>2</w:t>
      </w:r>
      <w:r>
        <w:rPr>
          <w:rFonts w:asciiTheme="minorEastAsia" w:hAnsiTheme="minorEastAsia" w:eastAsiaTheme="minorEastAsia"/>
          <w:sz w:val="24"/>
          <w:szCs w:val="24"/>
        </w:rPr>
        <w:t>.</w:t>
      </w:r>
      <w:r>
        <w:rPr>
          <w:rFonts w:hint="eastAsia" w:asciiTheme="minorEastAsia" w:hAnsiTheme="minorEastAsia"/>
          <w:sz w:val="24"/>
          <w:szCs w:val="24"/>
          <w:lang w:val="en-US" w:eastAsia="zh-CN"/>
        </w:rPr>
        <w:t>2</w:t>
      </w:r>
      <w:r>
        <w:rPr>
          <w:rFonts w:hint="eastAsia" w:asciiTheme="minorEastAsia" w:hAnsiTheme="minorEastAsia" w:eastAsiaTheme="minorEastAsia"/>
          <w:sz w:val="24"/>
          <w:szCs w:val="24"/>
          <w:lang w:val="en-US" w:eastAsia="zh-CN"/>
        </w:rPr>
        <w:t>突发环境事件应急预案编制及备案服务期：项目进入调试前完成应急预案编制及备案。</w:t>
      </w:r>
    </w:p>
    <w:p w14:paraId="06A0506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lang w:val="en-US" w:eastAsia="zh-CN"/>
        </w:rPr>
      </w:pPr>
      <w:r>
        <w:rPr>
          <w:rFonts w:hint="eastAsia" w:asciiTheme="minorEastAsia" w:hAnsiTheme="minorEastAsia"/>
          <w:sz w:val="24"/>
          <w:szCs w:val="24"/>
          <w:lang w:val="en-US" w:eastAsia="zh-CN"/>
        </w:rPr>
        <w:t>2</w:t>
      </w:r>
      <w:r>
        <w:rPr>
          <w:rFonts w:asciiTheme="minorEastAsia" w:hAnsiTheme="minorEastAsia" w:eastAsiaTheme="minorEastAsia"/>
          <w:sz w:val="24"/>
          <w:szCs w:val="24"/>
        </w:rPr>
        <w:t>.</w:t>
      </w:r>
      <w:r>
        <w:rPr>
          <w:rFonts w:hint="eastAsia" w:asciiTheme="minorEastAsia" w:hAnsiTheme="minorEastAsia"/>
          <w:sz w:val="24"/>
          <w:szCs w:val="24"/>
          <w:lang w:val="en-US" w:eastAsia="zh-CN"/>
        </w:rPr>
        <w:t>3</w:t>
      </w:r>
      <w:r>
        <w:rPr>
          <w:rFonts w:hint="eastAsia" w:asciiTheme="minorEastAsia" w:hAnsiTheme="minorEastAsia" w:eastAsiaTheme="minorEastAsia"/>
          <w:sz w:val="24"/>
          <w:szCs w:val="24"/>
          <w:lang w:val="en-US" w:eastAsia="zh-CN"/>
        </w:rPr>
        <w:t>竣工环境保护验收服务期：项目进入调试验收阶段后</w:t>
      </w:r>
      <w:r>
        <w:rPr>
          <w:rFonts w:hint="eastAsia" w:asciiTheme="minorEastAsia" w:hAnsiTheme="minorEastAsia"/>
          <w:sz w:val="24"/>
          <w:szCs w:val="24"/>
          <w:lang w:val="en-US" w:eastAsia="zh-CN"/>
        </w:rPr>
        <w:t>（</w:t>
      </w:r>
      <w:r>
        <w:rPr>
          <w:rFonts w:hint="eastAsia" w:asciiTheme="minorEastAsia" w:hAnsiTheme="minorEastAsia"/>
          <w:sz w:val="24"/>
        </w:rPr>
        <w:t>竣工环保验收的启动以甲方书面通知为准</w:t>
      </w:r>
      <w:r>
        <w:rPr>
          <w:rFonts w:hint="eastAsia" w:asciiTheme="minorEastAsia" w:hAnsiTheme="minorEastAsia"/>
          <w:sz w:val="24"/>
          <w:szCs w:val="24"/>
          <w:lang w:val="en-US" w:eastAsia="zh-CN"/>
        </w:rPr>
        <w:t>）</w:t>
      </w:r>
      <w:r>
        <w:rPr>
          <w:rFonts w:hint="eastAsia" w:asciiTheme="minorEastAsia" w:hAnsiTheme="minorEastAsia" w:eastAsiaTheme="minorEastAsia"/>
          <w:sz w:val="24"/>
          <w:szCs w:val="24"/>
          <w:u w:val="single"/>
          <w:lang w:val="en-US" w:eastAsia="zh-CN"/>
        </w:rPr>
        <w:t xml:space="preserve">       </w:t>
      </w:r>
      <w:r>
        <w:rPr>
          <w:rFonts w:hint="eastAsia" w:asciiTheme="minorEastAsia" w:hAnsiTheme="minorEastAsia" w:eastAsiaTheme="minorEastAsia"/>
          <w:sz w:val="24"/>
          <w:szCs w:val="24"/>
          <w:lang w:val="en-US" w:eastAsia="zh-CN"/>
        </w:rPr>
        <w:t>取得专家验收意见。</w:t>
      </w:r>
    </w:p>
    <w:p w14:paraId="32D8DEC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asciiTheme="minorEastAsia" w:hAnsiTheme="minorEastAsia" w:eastAsiaTheme="minorEastAsia"/>
          <w:sz w:val="24"/>
          <w:szCs w:val="24"/>
        </w:rPr>
        <w:t>3</w:t>
      </w:r>
      <w:r>
        <w:rPr>
          <w:rFonts w:hint="eastAsia" w:asciiTheme="minorEastAsia" w:hAnsiTheme="minorEastAsia" w:eastAsiaTheme="minorEastAsia"/>
          <w:sz w:val="24"/>
          <w:szCs w:val="24"/>
        </w:rPr>
        <w:t>.相关</w:t>
      </w:r>
      <w:r>
        <w:rPr>
          <w:rFonts w:asciiTheme="minorEastAsia" w:hAnsiTheme="minorEastAsia" w:eastAsiaTheme="minorEastAsia"/>
          <w:sz w:val="24"/>
          <w:szCs w:val="24"/>
        </w:rPr>
        <w:t>要求：</w:t>
      </w:r>
    </w:p>
    <w:p w14:paraId="0401343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3</w:t>
      </w:r>
      <w:r>
        <w:rPr>
          <w:rFonts w:asciiTheme="minorEastAsia" w:hAnsiTheme="minorEastAsia" w:eastAsiaTheme="minorEastAsia"/>
          <w:sz w:val="24"/>
          <w:szCs w:val="24"/>
        </w:rPr>
        <w:t>.1</w:t>
      </w:r>
      <w:r>
        <w:rPr>
          <w:rFonts w:hint="eastAsia" w:asciiTheme="minorEastAsia" w:hAnsiTheme="minorEastAsia" w:eastAsiaTheme="minorEastAsia"/>
          <w:sz w:val="24"/>
          <w:szCs w:val="24"/>
        </w:rPr>
        <w:t>乙方</w:t>
      </w:r>
      <w:r>
        <w:rPr>
          <w:rFonts w:asciiTheme="minorEastAsia" w:hAnsiTheme="minorEastAsia" w:eastAsiaTheme="minorEastAsia"/>
          <w:sz w:val="24"/>
          <w:szCs w:val="24"/>
        </w:rPr>
        <w:t>必须应</w:t>
      </w:r>
      <w:r>
        <w:rPr>
          <w:rFonts w:hint="eastAsia" w:asciiTheme="minorEastAsia" w:hAnsiTheme="minorEastAsia" w:eastAsiaTheme="minorEastAsia"/>
          <w:sz w:val="24"/>
          <w:szCs w:val="24"/>
        </w:rPr>
        <w:t>甲方</w:t>
      </w:r>
      <w:r>
        <w:rPr>
          <w:rFonts w:asciiTheme="minorEastAsia" w:hAnsiTheme="minorEastAsia" w:eastAsiaTheme="minorEastAsia"/>
          <w:sz w:val="24"/>
          <w:szCs w:val="24"/>
        </w:rPr>
        <w:t>要求成立项目组，项目组必须专业配备齐全，具备丰富经验，各专业能</w:t>
      </w:r>
      <w:r>
        <w:rPr>
          <w:rFonts w:hint="eastAsia" w:asciiTheme="minorEastAsia" w:hAnsiTheme="minorEastAsia" w:eastAsiaTheme="minorEastAsia"/>
          <w:sz w:val="24"/>
          <w:szCs w:val="24"/>
          <w:lang w:eastAsia="zh-CN"/>
        </w:rPr>
        <w:t>独当一面</w:t>
      </w:r>
      <w:r>
        <w:rPr>
          <w:rFonts w:asciiTheme="minorEastAsia" w:hAnsiTheme="minorEastAsia" w:eastAsiaTheme="minorEastAsia"/>
          <w:sz w:val="24"/>
          <w:szCs w:val="24"/>
        </w:rPr>
        <w:t>，</w:t>
      </w:r>
      <w:r>
        <w:rPr>
          <w:rFonts w:hint="eastAsia" w:asciiTheme="minorEastAsia" w:hAnsiTheme="minorEastAsia" w:eastAsiaTheme="minorEastAsia"/>
          <w:sz w:val="24"/>
          <w:szCs w:val="24"/>
          <w:lang w:val="en-US" w:eastAsia="zh-CN"/>
        </w:rPr>
        <w:t>环评报告书编制主持人持有环境影响评价工程师职业资格证书</w:t>
      </w:r>
      <w:r>
        <w:rPr>
          <w:rFonts w:asciiTheme="minorEastAsia" w:hAnsiTheme="minorEastAsia" w:eastAsiaTheme="minorEastAsia"/>
          <w:sz w:val="24"/>
          <w:szCs w:val="24"/>
        </w:rPr>
        <w:t>，</w:t>
      </w:r>
      <w:r>
        <w:rPr>
          <w:rFonts w:hint="eastAsia" w:asciiTheme="minorEastAsia" w:hAnsiTheme="minorEastAsia" w:eastAsiaTheme="minorEastAsia"/>
          <w:sz w:val="24"/>
          <w:szCs w:val="24"/>
          <w:lang w:val="en-US" w:eastAsia="zh-CN"/>
        </w:rPr>
        <w:t>环评报告书编制主持人</w:t>
      </w:r>
      <w:r>
        <w:rPr>
          <w:rFonts w:asciiTheme="minorEastAsia" w:hAnsiTheme="minorEastAsia" w:eastAsiaTheme="minorEastAsia"/>
          <w:sz w:val="24"/>
          <w:szCs w:val="24"/>
        </w:rPr>
        <w:t>在项目实施过程中未经甲方同意不得更改。项目组前往项目现场时必要严格遵守</w:t>
      </w:r>
      <w:r>
        <w:rPr>
          <w:rFonts w:hint="eastAsia" w:asciiTheme="minorEastAsia" w:hAnsiTheme="minorEastAsia" w:eastAsiaTheme="minorEastAsia"/>
          <w:sz w:val="24"/>
          <w:szCs w:val="24"/>
        </w:rPr>
        <w:t>甲方</w:t>
      </w:r>
      <w:r>
        <w:rPr>
          <w:rFonts w:asciiTheme="minorEastAsia" w:hAnsiTheme="minorEastAsia" w:eastAsiaTheme="minorEastAsia"/>
          <w:sz w:val="24"/>
          <w:szCs w:val="24"/>
        </w:rPr>
        <w:t>现场安全管理规定并佩戴好劳保用品（安全帽、反光衣等，</w:t>
      </w:r>
      <w:r>
        <w:rPr>
          <w:rFonts w:hint="eastAsia" w:asciiTheme="minorEastAsia" w:hAnsiTheme="minorEastAsia" w:eastAsiaTheme="minorEastAsia"/>
          <w:sz w:val="24"/>
          <w:szCs w:val="24"/>
        </w:rPr>
        <w:t>乙方</w:t>
      </w:r>
      <w:r>
        <w:rPr>
          <w:rFonts w:asciiTheme="minorEastAsia" w:hAnsiTheme="minorEastAsia" w:eastAsiaTheme="minorEastAsia"/>
          <w:sz w:val="24"/>
          <w:szCs w:val="24"/>
        </w:rPr>
        <w:t>自备）。</w:t>
      </w:r>
    </w:p>
    <w:p w14:paraId="6E66F43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asciiTheme="minorEastAsia" w:hAnsiTheme="minorEastAsia" w:eastAsiaTheme="minorEastAsia"/>
          <w:sz w:val="24"/>
          <w:szCs w:val="24"/>
        </w:rPr>
        <w:t>3.2</w:t>
      </w:r>
      <w:r>
        <w:rPr>
          <w:rFonts w:hint="eastAsia" w:asciiTheme="minorEastAsia" w:hAnsiTheme="minorEastAsia" w:eastAsiaTheme="minorEastAsia" w:cstheme="minorEastAsia"/>
          <w:sz w:val="24"/>
          <w:szCs w:val="24"/>
        </w:rPr>
        <w:t>乙方</w:t>
      </w:r>
      <w:r>
        <w:rPr>
          <w:rFonts w:hint="eastAsia" w:asciiTheme="minorEastAsia" w:hAnsiTheme="minorEastAsia" w:eastAsiaTheme="minorEastAsia" w:cstheme="minorEastAsia"/>
          <w:sz w:val="24"/>
          <w:szCs w:val="24"/>
          <w:lang w:val="en-US" w:eastAsia="zh-CN"/>
        </w:rPr>
        <w:t>投入人员</w:t>
      </w:r>
      <w:r>
        <w:rPr>
          <w:rFonts w:hint="eastAsia" w:asciiTheme="minorEastAsia" w:hAnsiTheme="minorEastAsia" w:eastAsiaTheme="minorEastAsia" w:cstheme="minorEastAsia"/>
          <w:sz w:val="24"/>
          <w:szCs w:val="24"/>
        </w:rPr>
        <w:t>必须</w:t>
      </w:r>
      <w:r>
        <w:rPr>
          <w:rFonts w:hint="eastAsia" w:asciiTheme="minorEastAsia" w:hAnsiTheme="minorEastAsia" w:eastAsiaTheme="minorEastAsia" w:cstheme="minorEastAsia"/>
          <w:sz w:val="24"/>
          <w:szCs w:val="24"/>
          <w:lang w:val="en-US" w:eastAsia="zh-CN"/>
        </w:rPr>
        <w:t>具有良好的敬业精神和团体合作精神，并负责组织专家评审。</w:t>
      </w:r>
    </w:p>
    <w:p w14:paraId="0BFB805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b/>
          <w:sz w:val="24"/>
          <w:szCs w:val="24"/>
        </w:rPr>
      </w:pPr>
      <w:r>
        <w:rPr>
          <w:rFonts w:hint="eastAsia" w:asciiTheme="minorEastAsia" w:hAnsiTheme="minorEastAsia" w:eastAsiaTheme="minorEastAsia"/>
          <w:b/>
          <w:sz w:val="24"/>
          <w:szCs w:val="24"/>
        </w:rPr>
        <w:t>第三条</w:t>
      </w:r>
      <w:r>
        <w:rPr>
          <w:rFonts w:asciiTheme="minorEastAsia" w:hAnsiTheme="minorEastAsia" w:eastAsiaTheme="minorEastAsia"/>
          <w:b/>
          <w:sz w:val="24"/>
          <w:szCs w:val="24"/>
        </w:rPr>
        <w:t xml:space="preserve"> 双方确定以下标准和方式对乙方提交的技术服务工作成果进行验收</w:t>
      </w:r>
    </w:p>
    <w:p w14:paraId="7099C799">
      <w:pPr>
        <w:pStyle w:val="97"/>
        <w:keepNext w:val="0"/>
        <w:keepLines w:val="0"/>
        <w:pageBreakBefore w:val="0"/>
        <w:kinsoku/>
        <w:wordWrap/>
        <w:overflowPunct/>
        <w:topLinePunct w:val="0"/>
        <w:autoSpaceDE/>
        <w:autoSpaceDN/>
        <w:bidi w:val="0"/>
        <w:adjustRightInd/>
        <w:snapToGrid/>
        <w:spacing w:line="360" w:lineRule="auto"/>
        <w:ind w:firstLine="480"/>
        <w:textAlignment w:val="auto"/>
        <w:rPr>
          <w:sz w:val="24"/>
          <w:szCs w:val="24"/>
        </w:rPr>
      </w:pPr>
      <w:r>
        <w:rPr>
          <w:rFonts w:hint="eastAsia" w:asciiTheme="minorEastAsia" w:hAnsiTheme="minorEastAsia" w:eastAsiaTheme="minorEastAsia"/>
          <w:sz w:val="24"/>
          <w:szCs w:val="24"/>
        </w:rPr>
        <w:t>成果形式：</w:t>
      </w:r>
      <w:r>
        <w:rPr>
          <w:rFonts w:hint="eastAsia" w:asciiTheme="minorEastAsia" w:hAnsiTheme="minorEastAsia" w:eastAsiaTheme="minorEastAsia"/>
          <w:sz w:val="24"/>
          <w:szCs w:val="24"/>
          <w:lang w:val="en-US" w:eastAsia="zh-CN"/>
        </w:rPr>
        <w:t>乙方</w:t>
      </w:r>
      <w:r>
        <w:rPr>
          <w:rFonts w:hint="eastAsia"/>
          <w:sz w:val="24"/>
          <w:szCs w:val="24"/>
        </w:rPr>
        <w:t>编制《</w:t>
      </w:r>
      <w:r>
        <w:rPr>
          <w:rFonts w:hint="eastAsia"/>
          <w:sz w:val="24"/>
          <w:szCs w:val="24"/>
          <w:lang w:val="en-US" w:eastAsia="zh-CN"/>
        </w:rPr>
        <w:t>环境影响评价报告</w:t>
      </w:r>
      <w:r>
        <w:rPr>
          <w:rFonts w:hint="eastAsia"/>
          <w:sz w:val="24"/>
          <w:szCs w:val="24"/>
        </w:rPr>
        <w:t>》</w:t>
      </w:r>
      <w:r>
        <w:rPr>
          <w:rFonts w:hint="eastAsia" w:cs="Times New Roman" w:asciiTheme="minorEastAsia" w:hAnsiTheme="minorEastAsia" w:eastAsiaTheme="minorEastAsia"/>
          <w:color w:val="auto"/>
          <w:sz w:val="24"/>
          <w:szCs w:val="24"/>
          <w:lang w:val="en-US" w:eastAsia="zh-CN"/>
        </w:rPr>
        <w:t>顺利通过专家评审，取得官方有效批复；</w:t>
      </w:r>
      <w:r>
        <w:rPr>
          <w:rFonts w:hint="eastAsia"/>
          <w:sz w:val="24"/>
          <w:szCs w:val="24"/>
          <w:lang w:val="en-US" w:eastAsia="zh-CN"/>
        </w:rPr>
        <w:t>《建设项目竣工环境保护验收监测报告》验收结论合格并通过专家评审，完成公示及系统备案；《突发环境事件应急预案》</w:t>
      </w:r>
      <w:r>
        <w:rPr>
          <w:rFonts w:hint="eastAsia"/>
          <w:sz w:val="24"/>
          <w:szCs w:val="24"/>
        </w:rPr>
        <w:t>通过专家评审</w:t>
      </w:r>
      <w:r>
        <w:rPr>
          <w:rFonts w:hint="eastAsia"/>
          <w:sz w:val="24"/>
          <w:szCs w:val="24"/>
          <w:lang w:val="en-US" w:eastAsia="zh-CN"/>
        </w:rPr>
        <w:t>并完成系统及生态环境部门备案，取得备案回执</w:t>
      </w:r>
      <w:r>
        <w:rPr>
          <w:rFonts w:hint="eastAsia" w:ascii="Times New Roman" w:hAnsi="Times New Roman" w:eastAsia="宋体" w:cs="Times New Roman"/>
          <w:sz w:val="24"/>
          <w:szCs w:val="24"/>
          <w:lang w:val="en-US" w:eastAsia="zh-CN"/>
        </w:rPr>
        <w:t>。</w:t>
      </w:r>
    </w:p>
    <w:p w14:paraId="5502B6D1">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rPr>
          <w:rFonts w:hint="eastAsia" w:ascii="楷体" w:hAnsi="楷体" w:eastAsia="楷体" w:cs="楷体"/>
          <w:sz w:val="24"/>
          <w:szCs w:val="24"/>
          <w:u w:val="single"/>
        </w:rPr>
      </w:pPr>
      <w:r>
        <w:rPr>
          <w:rFonts w:hint="eastAsia" w:asciiTheme="minorEastAsia" w:hAnsiTheme="minorEastAsia" w:eastAsiaTheme="minorEastAsia"/>
          <w:sz w:val="24"/>
          <w:szCs w:val="24"/>
        </w:rPr>
        <w:t>验收标准：</w:t>
      </w:r>
      <w:r>
        <w:rPr>
          <w:rFonts w:hint="eastAsia" w:asciiTheme="minorEastAsia" w:hAnsiTheme="minorEastAsia" w:eastAsiaTheme="minorEastAsia"/>
          <w:sz w:val="24"/>
          <w:szCs w:val="24"/>
          <w:lang w:val="en-US" w:eastAsia="zh-CN"/>
        </w:rPr>
        <w:t>乙方</w:t>
      </w:r>
      <w:r>
        <w:rPr>
          <w:rFonts w:hint="eastAsia"/>
          <w:sz w:val="24"/>
          <w:szCs w:val="24"/>
        </w:rPr>
        <w:t>需保证提交的《</w:t>
      </w:r>
      <w:r>
        <w:rPr>
          <w:rFonts w:hint="eastAsia"/>
          <w:sz w:val="24"/>
          <w:szCs w:val="24"/>
          <w:lang w:val="en-US" w:eastAsia="zh-CN"/>
        </w:rPr>
        <w:t>环境影响评价报告</w:t>
      </w:r>
      <w:r>
        <w:rPr>
          <w:rFonts w:hint="eastAsia"/>
          <w:sz w:val="24"/>
          <w:szCs w:val="24"/>
        </w:rPr>
        <w:t>》</w:t>
      </w:r>
      <w:r>
        <w:rPr>
          <w:rFonts w:hint="eastAsia"/>
          <w:sz w:val="24"/>
          <w:szCs w:val="24"/>
          <w:lang w:eastAsia="zh-CN"/>
        </w:rPr>
        <w:t>、</w:t>
      </w:r>
      <w:r>
        <w:rPr>
          <w:rFonts w:hint="eastAsia"/>
          <w:sz w:val="24"/>
          <w:szCs w:val="24"/>
          <w:lang w:val="en-US" w:eastAsia="zh-CN"/>
        </w:rPr>
        <w:t>《建设项目竣工环境保护验收监测报告》、《突发环境事件应急预案》</w:t>
      </w:r>
      <w:r>
        <w:rPr>
          <w:rFonts w:hint="eastAsia"/>
          <w:sz w:val="24"/>
          <w:szCs w:val="24"/>
        </w:rPr>
        <w:t>符合国家及地方有关法律、法规、标准与规范、企业实际</w:t>
      </w:r>
      <w:r>
        <w:rPr>
          <w:rFonts w:hint="eastAsia"/>
          <w:sz w:val="24"/>
          <w:szCs w:val="24"/>
          <w:lang w:eastAsia="zh-CN"/>
        </w:rPr>
        <w:t>，</w:t>
      </w:r>
      <w:r>
        <w:rPr>
          <w:rFonts w:hint="eastAsia" w:asciiTheme="minorEastAsia" w:hAnsiTheme="minorEastAsia" w:eastAsiaTheme="minorEastAsia" w:cstheme="minorEastAsia"/>
          <w:sz w:val="24"/>
          <w:szCs w:val="24"/>
        </w:rPr>
        <w:t>满足专家评审及</w:t>
      </w:r>
      <w:r>
        <w:rPr>
          <w:rFonts w:hint="eastAsia" w:asciiTheme="minorEastAsia" w:hAnsiTheme="minorEastAsia" w:cstheme="minorEastAsia"/>
          <w:sz w:val="24"/>
          <w:szCs w:val="24"/>
          <w:lang w:val="en-US" w:eastAsia="zh-CN"/>
        </w:rPr>
        <w:t>生态环境主管</w:t>
      </w:r>
      <w:r>
        <w:rPr>
          <w:rFonts w:hint="eastAsia" w:asciiTheme="minorEastAsia" w:hAnsiTheme="minorEastAsia" w:eastAsiaTheme="minorEastAsia" w:cstheme="minorEastAsia"/>
          <w:sz w:val="24"/>
          <w:szCs w:val="24"/>
        </w:rPr>
        <w:t>部门的技术审查要求</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取得</w:t>
      </w:r>
      <w:r>
        <w:rPr>
          <w:rFonts w:hint="eastAsia" w:asciiTheme="minorEastAsia" w:hAnsiTheme="minorEastAsia" w:cstheme="minorEastAsia"/>
          <w:sz w:val="24"/>
        </w:rPr>
        <w:t>环评批复文件、应急预案得备案回执</w:t>
      </w:r>
      <w:r>
        <w:rPr>
          <w:rFonts w:hint="eastAsia" w:asciiTheme="minorEastAsia" w:hAnsiTheme="minorEastAsia" w:cstheme="minorEastAsia"/>
          <w:sz w:val="24"/>
          <w:lang w:val="en-US" w:eastAsia="zh-CN"/>
        </w:rPr>
        <w:t>及</w:t>
      </w:r>
      <w:r>
        <w:rPr>
          <w:rFonts w:hint="eastAsia" w:asciiTheme="minorEastAsia" w:hAnsiTheme="minorEastAsia" w:cstheme="minorEastAsia"/>
          <w:sz w:val="24"/>
        </w:rPr>
        <w:t>竣工环保验收完成系统备案公示</w:t>
      </w:r>
      <w:r>
        <w:rPr>
          <w:rFonts w:hint="eastAsia" w:ascii="楷体" w:hAnsi="楷体" w:eastAsia="楷体" w:cs="楷体"/>
          <w:sz w:val="24"/>
          <w:szCs w:val="24"/>
          <w:lang w:eastAsia="zh-CN"/>
        </w:rPr>
        <w:t>。</w:t>
      </w:r>
    </w:p>
    <w:p w14:paraId="22DE17ED">
      <w:pPr>
        <w:pStyle w:val="97"/>
        <w:keepNext w:val="0"/>
        <w:keepLines w:val="0"/>
        <w:pageBreakBefore w:val="0"/>
        <w:kinsoku/>
        <w:wordWrap/>
        <w:overflowPunct/>
        <w:topLinePunct w:val="0"/>
        <w:autoSpaceDE/>
        <w:autoSpaceDN/>
        <w:bidi w:val="0"/>
        <w:adjustRightInd/>
        <w:snapToGrid/>
        <w:spacing w:line="360" w:lineRule="auto"/>
        <w:ind w:firstLine="480"/>
        <w:jc w:val="both"/>
        <w:textAlignment w:val="auto"/>
        <w:rPr>
          <w:rFonts w:asciiTheme="minorEastAsia" w:hAnsiTheme="minorEastAsia" w:eastAsiaTheme="minorEastAsia"/>
          <w:sz w:val="24"/>
          <w:szCs w:val="24"/>
        </w:rPr>
      </w:pPr>
      <w:r>
        <w:rPr>
          <w:rFonts w:hint="eastAsia"/>
          <w:sz w:val="24"/>
          <w:szCs w:val="24"/>
          <w:lang w:val="en-US" w:eastAsia="zh-CN"/>
        </w:rPr>
        <w:t>乙方将</w:t>
      </w:r>
      <w:r>
        <w:rPr>
          <w:rFonts w:hint="eastAsia"/>
          <w:sz w:val="24"/>
          <w:szCs w:val="24"/>
        </w:rPr>
        <w:t>验收报告纸质文件提供给</w:t>
      </w:r>
      <w:r>
        <w:rPr>
          <w:rFonts w:hint="eastAsia"/>
          <w:sz w:val="24"/>
          <w:szCs w:val="24"/>
          <w:lang w:val="en-US" w:eastAsia="zh-CN"/>
        </w:rPr>
        <w:t>甲方（</w:t>
      </w:r>
      <w:r>
        <w:rPr>
          <w:rFonts w:hint="eastAsia"/>
          <w:sz w:val="24"/>
          <w:szCs w:val="24"/>
        </w:rPr>
        <w:t>一式</w:t>
      </w:r>
      <w:r>
        <w:rPr>
          <w:rFonts w:hint="eastAsia"/>
          <w:sz w:val="24"/>
          <w:szCs w:val="24"/>
          <w:lang w:val="en-US" w:eastAsia="zh-CN"/>
        </w:rPr>
        <w:t>四</w:t>
      </w:r>
      <w:r>
        <w:rPr>
          <w:rFonts w:hint="eastAsia"/>
          <w:sz w:val="24"/>
          <w:szCs w:val="24"/>
        </w:rPr>
        <w:t>份及原文件电子资料一套</w:t>
      </w:r>
      <w:r>
        <w:rPr>
          <w:rFonts w:hint="eastAsia"/>
          <w:sz w:val="24"/>
          <w:szCs w:val="24"/>
          <w:lang w:val="en-US" w:eastAsia="zh-CN"/>
        </w:rPr>
        <w:t>）。</w:t>
      </w:r>
    </w:p>
    <w:p w14:paraId="00B03A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b/>
          <w:sz w:val="24"/>
          <w:szCs w:val="24"/>
          <w:lang w:val="en-US" w:eastAsia="zh-CN"/>
        </w:rPr>
      </w:pPr>
      <w:r>
        <w:rPr>
          <w:rFonts w:hint="eastAsia" w:asciiTheme="minorEastAsia" w:hAnsiTheme="minorEastAsia" w:eastAsiaTheme="minorEastAsia"/>
          <w:b/>
          <w:sz w:val="24"/>
          <w:szCs w:val="24"/>
        </w:rPr>
        <w:t>第四条</w:t>
      </w:r>
      <w:r>
        <w:rPr>
          <w:rFonts w:asciiTheme="minorEastAsia" w:hAnsiTheme="minorEastAsia" w:eastAsiaTheme="minorEastAsia"/>
          <w:b/>
          <w:sz w:val="24"/>
          <w:szCs w:val="24"/>
        </w:rPr>
        <w:t xml:space="preserve"> </w:t>
      </w:r>
      <w:r>
        <w:rPr>
          <w:rFonts w:hint="eastAsia" w:asciiTheme="minorEastAsia" w:hAnsiTheme="minorEastAsia" w:eastAsiaTheme="minorEastAsia"/>
          <w:b/>
          <w:sz w:val="24"/>
          <w:szCs w:val="24"/>
          <w:lang w:val="en-US" w:eastAsia="zh-CN"/>
        </w:rPr>
        <w:t>投保标准及时效要求</w:t>
      </w:r>
    </w:p>
    <w:p w14:paraId="5BA1E27D">
      <w:pPr>
        <w:adjustRightInd/>
        <w:snapToGrid/>
        <w:ind w:firstLine="480" w:firstLineChars="200"/>
        <w:rPr>
          <w:rFonts w:hint="eastAsia"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（一）投保险种及保额标准</w:t>
      </w:r>
    </w:p>
    <w:p w14:paraId="6E445CBB">
      <w:pPr>
        <w:adjustRightInd/>
        <w:snapToGrid/>
        <w:ind w:firstLine="480" w:firstLineChars="200"/>
        <w:rPr>
          <w:rFonts w:hint="eastAsia"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乙方</w:t>
      </w:r>
      <w:r>
        <w:rPr>
          <w:rFonts w:hint="eastAsia" w:asciiTheme="minorEastAsia" w:hAnsiTheme="minorEastAsia" w:eastAsiaTheme="minorEastAsia"/>
          <w:sz w:val="24"/>
          <w:szCs w:val="24"/>
        </w:rPr>
        <w:t>必须为本项目所有进场服务人员均须购买工伤保险和意外伤害保险（不少于100万保额），在</w:t>
      </w:r>
      <w:r>
        <w:rPr>
          <w:rFonts w:hint="eastAsia" w:asciiTheme="minorEastAsia" w:hAnsiTheme="minorEastAsia" w:eastAsiaTheme="minorEastAsia"/>
          <w:sz w:val="24"/>
          <w:szCs w:val="24"/>
          <w:lang w:val="en-US" w:eastAsia="zh-CN"/>
        </w:rPr>
        <w:t>场</w:t>
      </w:r>
      <w:r>
        <w:rPr>
          <w:rFonts w:hint="eastAsia" w:asciiTheme="minorEastAsia" w:hAnsiTheme="minorEastAsia" w:eastAsiaTheme="minorEastAsia"/>
          <w:sz w:val="24"/>
          <w:szCs w:val="24"/>
        </w:rPr>
        <w:t>服务人员进场前向</w:t>
      </w:r>
      <w:r>
        <w:rPr>
          <w:rFonts w:hint="eastAsia" w:asciiTheme="minorEastAsia" w:hAnsiTheme="minorEastAsia" w:eastAsiaTheme="minorEastAsia"/>
          <w:sz w:val="24"/>
          <w:szCs w:val="24"/>
          <w:lang w:val="en-US" w:eastAsia="zh-CN"/>
        </w:rPr>
        <w:t>甲方</w:t>
      </w:r>
      <w:r>
        <w:rPr>
          <w:rFonts w:hint="eastAsia" w:asciiTheme="minorEastAsia" w:hAnsiTheme="minorEastAsia" w:eastAsiaTheme="minorEastAsia"/>
          <w:sz w:val="24"/>
          <w:szCs w:val="24"/>
        </w:rPr>
        <w:t>提交相关资料</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保险费用已计入本合同服务费总价，由</w:t>
      </w:r>
      <w:r>
        <w:rPr>
          <w:rFonts w:hint="eastAsia" w:asciiTheme="minorEastAsia" w:hAnsiTheme="minorEastAsia" w:eastAsiaTheme="minorEastAsia"/>
          <w:sz w:val="24"/>
          <w:szCs w:val="24"/>
          <w:lang w:val="en-US" w:eastAsia="zh-CN"/>
        </w:rPr>
        <w:t>乙方</w:t>
      </w:r>
      <w:r>
        <w:rPr>
          <w:rFonts w:hint="eastAsia" w:asciiTheme="minorEastAsia" w:hAnsiTheme="minorEastAsia" w:eastAsiaTheme="minorEastAsia"/>
          <w:sz w:val="24"/>
          <w:szCs w:val="24"/>
        </w:rPr>
        <w:t>承担，</w:t>
      </w:r>
      <w:r>
        <w:rPr>
          <w:rFonts w:hint="eastAsia" w:asciiTheme="minorEastAsia" w:hAnsiTheme="minorEastAsia" w:eastAsiaTheme="minorEastAsia"/>
          <w:sz w:val="24"/>
          <w:szCs w:val="24"/>
          <w:lang w:val="en-US" w:eastAsia="zh-CN"/>
        </w:rPr>
        <w:t>甲方</w:t>
      </w:r>
      <w:r>
        <w:rPr>
          <w:rFonts w:hint="eastAsia" w:asciiTheme="minorEastAsia" w:hAnsiTheme="minorEastAsia" w:eastAsiaTheme="minorEastAsia"/>
          <w:sz w:val="24"/>
          <w:szCs w:val="24"/>
        </w:rPr>
        <w:t>不再另行支付。</w:t>
      </w:r>
      <w:r>
        <w:rPr>
          <w:rFonts w:hint="eastAsia" w:asciiTheme="minorEastAsia" w:hAnsiTheme="minorEastAsia" w:eastAsiaTheme="minorEastAsia"/>
          <w:sz w:val="24"/>
          <w:szCs w:val="24"/>
          <w:lang w:val="en-US" w:eastAsia="zh-CN"/>
        </w:rPr>
        <w:t>乙方</w:t>
      </w:r>
      <w:r>
        <w:rPr>
          <w:rFonts w:hint="eastAsia" w:asciiTheme="minorEastAsia" w:hAnsiTheme="minorEastAsia" w:eastAsiaTheme="minorEastAsia"/>
          <w:sz w:val="24"/>
          <w:szCs w:val="24"/>
        </w:rPr>
        <w:t>人员进场施工前，须先行保险投保手续，并向</w:t>
      </w:r>
      <w:r>
        <w:rPr>
          <w:rFonts w:hint="eastAsia" w:asciiTheme="minorEastAsia" w:hAnsiTheme="minorEastAsia" w:eastAsiaTheme="minorEastAsia"/>
          <w:sz w:val="24"/>
          <w:szCs w:val="24"/>
          <w:lang w:val="en-US" w:eastAsia="zh-CN"/>
        </w:rPr>
        <w:t>甲方</w:t>
      </w:r>
      <w:r>
        <w:rPr>
          <w:rFonts w:hint="eastAsia" w:asciiTheme="minorEastAsia" w:hAnsiTheme="minorEastAsia" w:eastAsiaTheme="minorEastAsia"/>
          <w:sz w:val="24"/>
          <w:szCs w:val="24"/>
        </w:rPr>
        <w:t>提交合法有效的保险购买凭证（包括但不限于保单、保险发票、被保险人清单等）。进场人员须与保单载明之被保险人员一一对应，未投保人员或投保金额不足人员一律禁止进场作业。</w:t>
      </w:r>
    </w:p>
    <w:p w14:paraId="25E569AF">
      <w:pPr>
        <w:adjustRightInd/>
        <w:snapToGrid/>
        <w:ind w:firstLine="480" w:firstLineChars="200"/>
        <w:rPr>
          <w:rFonts w:hint="eastAsia"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（二）时效要求</w:t>
      </w:r>
    </w:p>
    <w:p w14:paraId="582402DB">
      <w:pPr>
        <w:adjustRightInd/>
        <w:snapToGrid/>
        <w:ind w:firstLine="480" w:firstLineChars="200"/>
        <w:rPr>
          <w:rFonts w:hint="eastAsia"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保险期限须完整覆盖本次技术服务全作业周期，含进场准备、现场作业及退场收尾阶段；本次技术服务工期顺延的，须提前办理续保手续，在到期前3个工作日完成续保，并同步更新资料报备，严禁出现保单空档、脱保、过期施工情况。</w:t>
      </w:r>
    </w:p>
    <w:p w14:paraId="321D06BE">
      <w:pPr>
        <w:adjustRightInd/>
        <w:snapToGrid/>
        <w:ind w:firstLine="480" w:firstLineChars="200"/>
        <w:rPr>
          <w:rFonts w:hint="eastAsia"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（三）动态管理</w:t>
      </w:r>
    </w:p>
    <w:p w14:paraId="3432FE2D">
      <w:pPr>
        <w:pStyle w:val="2"/>
        <w:snapToGrid/>
        <w:spacing w:before="0"/>
        <w:ind w:left="0" w:firstLine="480" w:firstLineChars="200"/>
        <w:rPr>
          <w:rFonts w:hint="eastAsia" w:asciiTheme="minorEastAsia" w:hAnsiTheme="minorEastAsia" w:eastAsiaTheme="minorEastAsia" w:cstheme="minorBidi"/>
          <w:sz w:val="24"/>
          <w:szCs w:val="24"/>
        </w:rPr>
      </w:pPr>
      <w:r>
        <w:rPr>
          <w:rFonts w:hint="eastAsia" w:asciiTheme="minorEastAsia" w:hAnsiTheme="minorEastAsia" w:eastAsiaTheme="minorEastAsia" w:cstheme="minorBidi"/>
          <w:sz w:val="24"/>
          <w:szCs w:val="24"/>
        </w:rPr>
        <w:t>作业人员发生增减变动的，外来作业单位须在1个工作日内完成保险人员信息变更，并将更新后的保单凭证报送发包单位相关部门，严禁出现脱保、漏保情况。</w:t>
      </w:r>
    </w:p>
    <w:p w14:paraId="7E1EB06A">
      <w:pPr>
        <w:pStyle w:val="2"/>
        <w:keepNext w:val="0"/>
        <w:keepLines w:val="0"/>
        <w:pageBreakBefore w:val="0"/>
        <w:kinsoku/>
        <w:wordWrap/>
        <w:overflowPunct/>
        <w:topLinePunct w:val="0"/>
        <w:autoSpaceDE/>
        <w:autoSpaceDN/>
        <w:bidi w:val="0"/>
        <w:adjustRightInd/>
        <w:snapToGrid/>
        <w:ind w:firstLine="480" w:firstLineChars="200"/>
        <w:textAlignment w:val="auto"/>
        <w:rPr>
          <w:rFonts w:asciiTheme="minorEastAsia" w:hAnsiTheme="minorEastAsia" w:eastAsiaTheme="minorEastAsia"/>
          <w:b/>
          <w:sz w:val="24"/>
          <w:szCs w:val="24"/>
        </w:rPr>
      </w:pPr>
      <w:r>
        <w:rPr>
          <w:rFonts w:hint="eastAsia" w:cs="宋体"/>
          <w:szCs w:val="21"/>
          <w:lang w:eastAsia="zh-CN"/>
        </w:rPr>
        <w:t>（</w:t>
      </w:r>
      <w:r>
        <w:rPr>
          <w:rFonts w:hint="eastAsia" w:cs="宋体"/>
          <w:szCs w:val="21"/>
          <w:lang w:val="en-US" w:eastAsia="zh-CN"/>
        </w:rPr>
        <w:t>四</w:t>
      </w:r>
      <w:r>
        <w:rPr>
          <w:rFonts w:hint="eastAsia" w:cs="宋体"/>
          <w:szCs w:val="21"/>
          <w:lang w:eastAsia="zh-CN"/>
        </w:rPr>
        <w:t>）</w:t>
      </w:r>
      <w:r>
        <w:rPr>
          <w:rFonts w:hint="eastAsia" w:hAnsi="宋体" w:cs="宋体"/>
          <w:szCs w:val="21"/>
        </w:rPr>
        <w:t>乙方违反本条任一约定的，甲方有权拒绝乙方或相关未投保人员进场施工，并有权要求乙方限期整改。因乙方未依法投保或保险不符合约定导致的一切法律责任及经济损失，均由乙方承担。乙方限期未整改的，甲方有权要求解除本合同，并要求乙方支付相当于本合同金额20%的违约金，如还违约金不足以覆盖甲方的全部损失，甲方有权继续追偿。</w:t>
      </w:r>
    </w:p>
    <w:p w14:paraId="2EBDDD0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b/>
          <w:sz w:val="24"/>
          <w:szCs w:val="24"/>
        </w:rPr>
      </w:pPr>
      <w:r>
        <w:rPr>
          <w:rFonts w:hint="eastAsia" w:asciiTheme="minorEastAsia" w:hAnsiTheme="minorEastAsia" w:eastAsiaTheme="minorEastAsia"/>
          <w:b/>
          <w:sz w:val="24"/>
          <w:szCs w:val="24"/>
        </w:rPr>
        <w:t>第五条</w:t>
      </w:r>
      <w:r>
        <w:rPr>
          <w:rFonts w:asciiTheme="minorEastAsia" w:hAnsiTheme="minorEastAsia" w:eastAsiaTheme="minorEastAsia"/>
          <w:b/>
          <w:sz w:val="24"/>
          <w:szCs w:val="24"/>
        </w:rPr>
        <w:t xml:space="preserve"> 甲方的权利和义务</w:t>
      </w:r>
    </w:p>
    <w:p w14:paraId="6C434184">
      <w:pPr>
        <w:snapToGrid/>
        <w:spacing w:line="360" w:lineRule="auto"/>
        <w:ind w:firstLine="480" w:firstLineChars="200"/>
        <w:rPr>
          <w:rFonts w:asciiTheme="minorEastAsia" w:hAnsiTheme="minorEastAsia" w:eastAsiaTheme="minorEastAsia"/>
          <w:sz w:val="24"/>
          <w:szCs w:val="24"/>
        </w:rPr>
      </w:pPr>
      <w:r>
        <w:rPr>
          <w:rFonts w:asciiTheme="minorEastAsia" w:hAnsiTheme="minorEastAsia" w:eastAsiaTheme="minorEastAsia"/>
          <w:sz w:val="24"/>
          <w:szCs w:val="24"/>
        </w:rPr>
        <w:t>1</w:t>
      </w:r>
      <w:r>
        <w:rPr>
          <w:rFonts w:hint="eastAsia" w:asciiTheme="minorEastAsia" w:hAnsiTheme="minorEastAsia" w:eastAsiaTheme="minorEastAsia"/>
          <w:sz w:val="24"/>
          <w:szCs w:val="24"/>
        </w:rPr>
        <w:t>.</w:t>
      </w:r>
      <w:r>
        <w:rPr>
          <w:rFonts w:asciiTheme="minorEastAsia" w:hAnsiTheme="minorEastAsia" w:eastAsiaTheme="minorEastAsia"/>
          <w:sz w:val="24"/>
          <w:szCs w:val="24"/>
        </w:rPr>
        <w:t>提供</w:t>
      </w:r>
      <w:r>
        <w:rPr>
          <w:rFonts w:hint="eastAsia"/>
          <w:sz w:val="24"/>
          <w:szCs w:val="24"/>
          <w:lang w:eastAsia="zh-CN"/>
        </w:rPr>
        <w:t>《</w:t>
      </w:r>
      <w:r>
        <w:rPr>
          <w:rFonts w:hint="eastAsia"/>
          <w:sz w:val="24"/>
          <w:szCs w:val="24"/>
          <w:lang w:val="en-US" w:eastAsia="zh-CN"/>
        </w:rPr>
        <w:t>环境现状监测完整监测报告》、</w:t>
      </w:r>
      <w:r>
        <w:rPr>
          <w:rFonts w:hint="eastAsia"/>
          <w:sz w:val="24"/>
          <w:szCs w:val="24"/>
        </w:rPr>
        <w:t>《</w:t>
      </w:r>
      <w:r>
        <w:rPr>
          <w:rFonts w:hint="eastAsia"/>
          <w:sz w:val="24"/>
          <w:szCs w:val="24"/>
          <w:lang w:val="en-US" w:eastAsia="zh-CN"/>
        </w:rPr>
        <w:t>项目环境影响评价报告</w:t>
      </w:r>
      <w:r>
        <w:rPr>
          <w:rFonts w:hint="eastAsia"/>
          <w:sz w:val="24"/>
          <w:szCs w:val="24"/>
        </w:rPr>
        <w:t>》</w:t>
      </w:r>
      <w:r>
        <w:rPr>
          <w:rFonts w:hint="eastAsia"/>
          <w:sz w:val="24"/>
          <w:szCs w:val="24"/>
          <w:lang w:eastAsia="zh-CN"/>
        </w:rPr>
        <w:t>、</w:t>
      </w:r>
      <w:r>
        <w:rPr>
          <w:rFonts w:hint="eastAsia"/>
          <w:sz w:val="24"/>
          <w:szCs w:val="24"/>
          <w:lang w:val="en-US" w:eastAsia="zh-CN"/>
        </w:rPr>
        <w:t>《建设项目竣工环境保护验收监测报告》、《突发环境事件应急预案》</w:t>
      </w:r>
      <w:r>
        <w:rPr>
          <w:rFonts w:hint="eastAsia" w:asciiTheme="minorEastAsia" w:hAnsiTheme="minorEastAsia"/>
          <w:sz w:val="24"/>
          <w:szCs w:val="24"/>
          <w:u w:val="single"/>
          <w:lang w:eastAsia="zh-CN"/>
        </w:rPr>
        <w:t>（</w:t>
      </w:r>
      <w:r>
        <w:rPr>
          <w:rFonts w:hint="eastAsia" w:asciiTheme="minorEastAsia" w:hAnsiTheme="minorEastAsia"/>
          <w:sz w:val="24"/>
          <w:szCs w:val="24"/>
          <w:u w:val="single"/>
          <w:lang w:val="en-US" w:eastAsia="zh-CN"/>
        </w:rPr>
        <w:t>四项报告以下简称为“报告”</w:t>
      </w:r>
      <w:r>
        <w:rPr>
          <w:rFonts w:hint="eastAsia" w:asciiTheme="minorEastAsia" w:hAnsiTheme="minorEastAsia"/>
          <w:sz w:val="24"/>
          <w:szCs w:val="24"/>
          <w:u w:val="single"/>
          <w:lang w:eastAsia="zh-CN"/>
        </w:rPr>
        <w:t>）</w:t>
      </w:r>
      <w:r>
        <w:rPr>
          <w:rFonts w:hint="eastAsia" w:asciiTheme="minorEastAsia" w:hAnsiTheme="minorEastAsia" w:eastAsiaTheme="minorEastAsia"/>
          <w:sz w:val="24"/>
          <w:szCs w:val="24"/>
        </w:rPr>
        <w:t>及</w:t>
      </w:r>
      <w:r>
        <w:rPr>
          <w:rFonts w:hint="eastAsia" w:asciiTheme="minorEastAsia" w:hAnsiTheme="minorEastAsia"/>
          <w:sz w:val="24"/>
        </w:rPr>
        <w:t>完成项目环保竣工验收</w:t>
      </w:r>
      <w:r>
        <w:rPr>
          <w:rFonts w:asciiTheme="minorEastAsia" w:hAnsiTheme="minorEastAsia" w:eastAsiaTheme="minorEastAsia"/>
          <w:sz w:val="24"/>
          <w:szCs w:val="24"/>
        </w:rPr>
        <w:t>所需的信息、资料或检品。</w:t>
      </w:r>
    </w:p>
    <w:p w14:paraId="7D50244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asciiTheme="minorEastAsia" w:hAnsiTheme="minorEastAsia" w:eastAsiaTheme="minorEastAsia"/>
          <w:sz w:val="24"/>
          <w:szCs w:val="24"/>
        </w:rPr>
        <w:t>2</w:t>
      </w:r>
      <w:r>
        <w:rPr>
          <w:rFonts w:hint="eastAsia" w:asciiTheme="minorEastAsia" w:hAnsiTheme="minorEastAsia" w:eastAsiaTheme="minorEastAsia"/>
          <w:sz w:val="24"/>
          <w:szCs w:val="24"/>
        </w:rPr>
        <w:t>.</w:t>
      </w:r>
      <w:r>
        <w:rPr>
          <w:rFonts w:asciiTheme="minorEastAsia" w:hAnsiTheme="minorEastAsia" w:eastAsiaTheme="minorEastAsia"/>
          <w:sz w:val="24"/>
          <w:szCs w:val="24"/>
        </w:rPr>
        <w:t>按期验收乙方的技术服务成果，并按合同约定支付报酬。</w:t>
      </w:r>
    </w:p>
    <w:p w14:paraId="5F3F0C3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b/>
          <w:sz w:val="24"/>
          <w:szCs w:val="24"/>
        </w:rPr>
      </w:pPr>
      <w:r>
        <w:rPr>
          <w:rFonts w:hint="eastAsia" w:asciiTheme="minorEastAsia" w:hAnsiTheme="minorEastAsia" w:eastAsiaTheme="minorEastAsia"/>
          <w:sz w:val="24"/>
          <w:szCs w:val="24"/>
        </w:rPr>
        <w:t>3</w:t>
      </w:r>
      <w:r>
        <w:rPr>
          <w:rFonts w:asciiTheme="minorEastAsia" w:hAnsiTheme="minorEastAsia" w:eastAsiaTheme="minorEastAsia"/>
          <w:sz w:val="24"/>
          <w:szCs w:val="24"/>
        </w:rPr>
        <w:t>.</w:t>
      </w:r>
      <w:r>
        <w:rPr>
          <w:rFonts w:hint="eastAsia" w:asciiTheme="minorEastAsia" w:hAnsiTheme="minorEastAsia" w:eastAsiaTheme="minorEastAsia"/>
          <w:sz w:val="24"/>
          <w:szCs w:val="24"/>
        </w:rPr>
        <w:t>如乙方须到甲方项目现场进行采样、监测或调查等，乙方自负费用，但甲方应为乙方提供必要的工作条件</w:t>
      </w:r>
      <w:r>
        <w:rPr>
          <w:rFonts w:asciiTheme="minorEastAsia" w:hAnsiTheme="minorEastAsia" w:eastAsiaTheme="minorEastAsia"/>
          <w:sz w:val="24"/>
          <w:szCs w:val="24"/>
        </w:rPr>
        <w:t>。</w:t>
      </w:r>
    </w:p>
    <w:p w14:paraId="6027C6B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b/>
          <w:sz w:val="24"/>
          <w:szCs w:val="24"/>
        </w:rPr>
      </w:pPr>
      <w:r>
        <w:rPr>
          <w:rFonts w:hint="eastAsia" w:asciiTheme="minorEastAsia" w:hAnsiTheme="minorEastAsia" w:eastAsiaTheme="minorEastAsia"/>
          <w:b/>
          <w:sz w:val="24"/>
          <w:szCs w:val="24"/>
        </w:rPr>
        <w:t xml:space="preserve">第六条 </w:t>
      </w:r>
      <w:r>
        <w:rPr>
          <w:rFonts w:asciiTheme="minorEastAsia" w:hAnsiTheme="minorEastAsia" w:eastAsiaTheme="minorEastAsia"/>
          <w:b/>
          <w:sz w:val="24"/>
          <w:szCs w:val="24"/>
        </w:rPr>
        <w:t>乙方的权利和义务</w:t>
      </w:r>
    </w:p>
    <w:p w14:paraId="5BF53F50">
      <w:pPr>
        <w:snapToGrid/>
        <w:spacing w:line="360" w:lineRule="auto"/>
        <w:ind w:firstLine="480" w:firstLineChars="200"/>
        <w:rPr>
          <w:rFonts w:asciiTheme="minorEastAsia" w:hAnsiTheme="minorEastAsia" w:eastAsiaTheme="minorEastAsia"/>
          <w:sz w:val="24"/>
          <w:szCs w:val="24"/>
        </w:rPr>
      </w:pPr>
      <w:r>
        <w:rPr>
          <w:rFonts w:asciiTheme="minorEastAsia" w:hAnsiTheme="minorEastAsia" w:eastAsiaTheme="minorEastAsia"/>
          <w:sz w:val="24"/>
          <w:szCs w:val="24"/>
        </w:rPr>
        <w:t>1</w:t>
      </w:r>
      <w:r>
        <w:rPr>
          <w:rFonts w:hint="eastAsia" w:asciiTheme="minorEastAsia" w:hAnsiTheme="minorEastAsia" w:eastAsiaTheme="minorEastAsia"/>
          <w:sz w:val="24"/>
          <w:szCs w:val="24"/>
        </w:rPr>
        <w:t>.</w:t>
      </w:r>
      <w:r>
        <w:rPr>
          <w:rFonts w:asciiTheme="minorEastAsia" w:hAnsiTheme="minorEastAsia" w:eastAsiaTheme="minorEastAsia"/>
          <w:sz w:val="24"/>
          <w:szCs w:val="24"/>
        </w:rPr>
        <w:t>按照合同约定的期限完成服务内容</w:t>
      </w:r>
      <w:r>
        <w:rPr>
          <w:rFonts w:hint="eastAsia" w:asciiTheme="minorEastAsia" w:hAnsiTheme="minorEastAsia"/>
          <w:sz w:val="24"/>
          <w:szCs w:val="24"/>
          <w:lang w:eastAsia="zh-CN"/>
        </w:rPr>
        <w:t>，</w:t>
      </w:r>
      <w:r>
        <w:rPr>
          <w:rFonts w:hint="eastAsia" w:asciiTheme="minorEastAsia" w:hAnsiTheme="minorEastAsia"/>
          <w:sz w:val="24"/>
        </w:rPr>
        <w:t>且协助</w:t>
      </w:r>
      <w:r>
        <w:rPr>
          <w:rFonts w:hint="eastAsia" w:asciiTheme="minorEastAsia" w:hAnsiTheme="minorEastAsia"/>
          <w:sz w:val="24"/>
          <w:szCs w:val="24"/>
          <w:lang w:val="en-US" w:eastAsia="zh-CN"/>
        </w:rPr>
        <w:t>甲方</w:t>
      </w:r>
      <w:r>
        <w:rPr>
          <w:rFonts w:hint="eastAsia" w:asciiTheme="minorEastAsia" w:hAnsiTheme="minorEastAsia"/>
          <w:sz w:val="24"/>
        </w:rPr>
        <w:t>完成项目环保竣工验收公开、登记相关信息并建立档案</w:t>
      </w:r>
      <w:r>
        <w:rPr>
          <w:rFonts w:asciiTheme="minorEastAsia" w:hAnsiTheme="minorEastAsia" w:eastAsiaTheme="minorEastAsia"/>
          <w:sz w:val="24"/>
          <w:szCs w:val="24"/>
        </w:rPr>
        <w:t>。</w:t>
      </w:r>
    </w:p>
    <w:p w14:paraId="7378DE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asciiTheme="minorEastAsia" w:hAnsiTheme="minorEastAsia" w:eastAsiaTheme="minorEastAsia"/>
          <w:sz w:val="24"/>
          <w:szCs w:val="24"/>
        </w:rPr>
        <w:t>2</w:t>
      </w:r>
      <w:r>
        <w:rPr>
          <w:rFonts w:hint="eastAsia" w:asciiTheme="minorEastAsia" w:hAnsiTheme="minorEastAsia" w:eastAsiaTheme="minorEastAsia"/>
          <w:sz w:val="24"/>
          <w:szCs w:val="24"/>
        </w:rPr>
        <w:t>.</w:t>
      </w:r>
      <w:r>
        <w:rPr>
          <w:rFonts w:asciiTheme="minorEastAsia" w:hAnsiTheme="minorEastAsia" w:eastAsiaTheme="minorEastAsia"/>
          <w:sz w:val="24"/>
          <w:szCs w:val="24"/>
        </w:rPr>
        <w:t>按照</w:t>
      </w:r>
      <w:r>
        <w:rPr>
          <w:rFonts w:hint="eastAsia" w:asciiTheme="minorEastAsia" w:hAnsiTheme="minorEastAsia"/>
          <w:sz w:val="24"/>
          <w:szCs w:val="24"/>
          <w:lang w:val="en-US" w:eastAsia="zh-CN"/>
        </w:rPr>
        <w:t>合同及相关法律规定编制报告，</w:t>
      </w:r>
      <w:r>
        <w:rPr>
          <w:rFonts w:asciiTheme="minorEastAsia" w:hAnsiTheme="minorEastAsia" w:eastAsiaTheme="minorEastAsia"/>
          <w:sz w:val="24"/>
          <w:szCs w:val="24"/>
        </w:rPr>
        <w:t>保障技术服务成果文件达到技术服务条件验收的需求。</w:t>
      </w:r>
    </w:p>
    <w:p w14:paraId="271BBE8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asciiTheme="minorEastAsia" w:hAnsiTheme="minorEastAsia" w:eastAsiaTheme="minorEastAsia"/>
          <w:sz w:val="24"/>
          <w:szCs w:val="24"/>
        </w:rPr>
        <w:t>3</w:t>
      </w:r>
      <w:r>
        <w:rPr>
          <w:rFonts w:hint="eastAsia" w:asciiTheme="minorEastAsia" w:hAnsiTheme="minorEastAsia" w:eastAsiaTheme="minorEastAsia"/>
          <w:sz w:val="24"/>
          <w:szCs w:val="24"/>
        </w:rPr>
        <w:t>.</w:t>
      </w:r>
      <w:r>
        <w:rPr>
          <w:rFonts w:asciiTheme="minorEastAsia" w:hAnsiTheme="minorEastAsia" w:eastAsiaTheme="minorEastAsia"/>
          <w:sz w:val="24"/>
          <w:szCs w:val="24"/>
        </w:rPr>
        <w:t>为保证乙方有效进行技术指导服务工作，乙方有权按照约定要求甲方给予支持和协助，并根据合同约定收取服务报酬。</w:t>
      </w:r>
    </w:p>
    <w:p w14:paraId="0C88FCA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4.</w:t>
      </w:r>
      <w:r>
        <w:rPr>
          <w:rFonts w:asciiTheme="minorEastAsia" w:hAnsiTheme="minorEastAsia" w:eastAsiaTheme="minorEastAsia"/>
          <w:sz w:val="24"/>
          <w:szCs w:val="24"/>
        </w:rPr>
        <w:t>未经甲方书面同意，乙方不得将本项目分包或转包给本协议以外的第三方</w:t>
      </w:r>
      <w:r>
        <w:rPr>
          <w:rFonts w:hint="eastAsia" w:asciiTheme="minorEastAsia" w:hAnsiTheme="minorEastAsia" w:eastAsiaTheme="minorEastAsia"/>
          <w:sz w:val="24"/>
          <w:szCs w:val="24"/>
        </w:rPr>
        <w:t>。</w:t>
      </w:r>
    </w:p>
    <w:p w14:paraId="6A6EEC0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asciiTheme="minorEastAsia" w:hAnsiTheme="minorEastAsia" w:eastAsiaTheme="minorEastAsia"/>
          <w:sz w:val="24"/>
          <w:szCs w:val="24"/>
        </w:rPr>
        <w:t>5</w:t>
      </w:r>
      <w:r>
        <w:rPr>
          <w:rFonts w:hint="eastAsia" w:asciiTheme="minorEastAsia" w:hAnsiTheme="minorEastAsia" w:eastAsiaTheme="minorEastAsia"/>
          <w:sz w:val="24"/>
          <w:szCs w:val="24"/>
        </w:rPr>
        <w:t>.乙</w:t>
      </w:r>
      <w:r>
        <w:rPr>
          <w:rFonts w:asciiTheme="minorEastAsia" w:hAnsiTheme="minorEastAsia" w:eastAsiaTheme="minorEastAsia"/>
          <w:sz w:val="24"/>
          <w:szCs w:val="24"/>
        </w:rPr>
        <w:t>方保证遵守国家法律、法规和规章制度，确保检测工作符合国家标准、规范。按国家标准、规范进行符合性声明，声明符合性判定时不考虑测量不确定度的影响。</w:t>
      </w:r>
    </w:p>
    <w:p w14:paraId="2293E296">
      <w:pPr>
        <w:pStyle w:val="2"/>
        <w:ind w:left="0" w:firstLine="480" w:firstLineChars="200"/>
        <w:rPr>
          <w:rFonts w:hint="default" w:eastAsiaTheme="minorEastAsia"/>
          <w:lang w:val="en-US" w:eastAsia="zh-CN"/>
        </w:rPr>
      </w:pPr>
      <w:r>
        <w:rPr>
          <w:rFonts w:hint="eastAsia" w:eastAsiaTheme="minorEastAsia"/>
          <w:lang w:val="en-US" w:eastAsia="zh-CN"/>
        </w:rPr>
        <w:t>6.</w:t>
      </w:r>
      <w:r>
        <w:rPr>
          <w:rFonts w:hint="eastAsia" w:eastAsiaTheme="minorEastAsia"/>
          <w:lang w:val="en-US"/>
        </w:rPr>
        <w:t>乙方工作人员在施工现场应穿戴有乙方标志的工作服或工作证。乙方安排到甲方施工的人员（即乙方工作人员）必须为与乙方签署劳动合同的人员。乙方应按时足额为乙方工作人员购买社保、发放工资、福利等，甲方在任何时候与乙方工作人员均不存在任何劳动、劳务、雇佣关系。若因乙方与乙方工作人员之间的争议纠纷导致甲方被投诉、起诉、仲裁的，造成甲方向第三方支付费用的，该费用及甲方律师费均应由乙方承担。</w:t>
      </w:r>
    </w:p>
    <w:p w14:paraId="68562F3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b/>
          <w:sz w:val="24"/>
          <w:szCs w:val="24"/>
        </w:rPr>
      </w:pPr>
      <w:r>
        <w:rPr>
          <w:rFonts w:hint="eastAsia" w:asciiTheme="minorEastAsia" w:hAnsiTheme="minorEastAsia" w:eastAsiaTheme="minorEastAsia"/>
          <w:b/>
          <w:sz w:val="24"/>
          <w:szCs w:val="24"/>
        </w:rPr>
        <w:t>第七条</w:t>
      </w:r>
      <w:r>
        <w:rPr>
          <w:rFonts w:asciiTheme="minorEastAsia" w:hAnsiTheme="minorEastAsia" w:eastAsiaTheme="minorEastAsia"/>
          <w:b/>
          <w:sz w:val="24"/>
          <w:szCs w:val="24"/>
        </w:rPr>
        <w:t xml:space="preserve"> </w:t>
      </w:r>
      <w:r>
        <w:rPr>
          <w:rFonts w:hint="eastAsia" w:asciiTheme="minorEastAsia" w:hAnsiTheme="minorEastAsia" w:eastAsiaTheme="minorEastAsia"/>
          <w:b/>
          <w:sz w:val="24"/>
          <w:szCs w:val="24"/>
        </w:rPr>
        <w:t>资料保密</w:t>
      </w:r>
    </w:p>
    <w:p w14:paraId="54B92EC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w:t>
      </w:r>
      <w:r>
        <w:rPr>
          <w:rFonts w:hint="eastAsia" w:asciiTheme="minorEastAsia" w:hAnsiTheme="minorEastAsia" w:eastAsiaTheme="minorEastAsia"/>
          <w:sz w:val="24"/>
          <w:szCs w:val="24"/>
        </w:rPr>
        <w:t>本合同签订之日起至乙方取得甲方书面同意止，乙方必须采取措施对本项目实施过程中的数据、技术文档、成果等资料保密，否则，乙方导致上述资料泄密的，乙方必须承担一切责任，乙方应向甲方支付本合同总费用2</w:t>
      </w:r>
      <w:r>
        <w:rPr>
          <w:rFonts w:asciiTheme="minorEastAsia" w:hAnsiTheme="minorEastAsia" w:eastAsiaTheme="minorEastAsia"/>
          <w:sz w:val="24"/>
          <w:szCs w:val="24"/>
        </w:rPr>
        <w:t>0%</w:t>
      </w:r>
      <w:r>
        <w:rPr>
          <w:rFonts w:hint="eastAsia" w:asciiTheme="minorEastAsia" w:hAnsiTheme="minorEastAsia" w:eastAsiaTheme="minorEastAsia"/>
          <w:sz w:val="24"/>
          <w:szCs w:val="24"/>
        </w:rPr>
        <w:t>的违约金，且应当赔偿甲方的一切损失。本合同第</w:t>
      </w:r>
      <w:r>
        <w:rPr>
          <w:rFonts w:hint="eastAsia" w:asciiTheme="minorEastAsia" w:hAnsiTheme="minorEastAsia" w:eastAsiaTheme="minorEastAsia"/>
          <w:sz w:val="24"/>
          <w:szCs w:val="24"/>
          <w:lang w:val="en-US" w:eastAsia="zh-CN"/>
        </w:rPr>
        <w:t>七</w:t>
      </w:r>
      <w:r>
        <w:rPr>
          <w:rFonts w:hint="eastAsia" w:asciiTheme="minorEastAsia" w:hAnsiTheme="minorEastAsia" w:eastAsiaTheme="minorEastAsia"/>
          <w:sz w:val="24"/>
          <w:szCs w:val="24"/>
        </w:rPr>
        <w:t>条约定，不因合同终止而免除乙方的保密责任，项目完成后，乙方仍有责任对本项目的技术保密承担责任。</w:t>
      </w:r>
    </w:p>
    <w:p w14:paraId="26FC83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2</w:t>
      </w:r>
      <w:r>
        <w:rPr>
          <w:rFonts w:asciiTheme="minorEastAsia" w:hAnsiTheme="minorEastAsia" w:eastAsiaTheme="minorEastAsia"/>
          <w:sz w:val="24"/>
          <w:szCs w:val="24"/>
        </w:rPr>
        <w:t>.未经甲方事先书面同意，乙方不得将由甲方为本合同提供的条文、规格、计划、图纸、模型、样品或资料提供给与本合同无关的任何第三方，不得将其用于履行本合同之外的其它用途</w:t>
      </w:r>
      <w:r>
        <w:rPr>
          <w:rFonts w:hint="eastAsia" w:asciiTheme="minorEastAsia" w:hAnsiTheme="minorEastAsia" w:eastAsiaTheme="minorEastAsia"/>
          <w:sz w:val="24"/>
          <w:szCs w:val="24"/>
        </w:rPr>
        <w:t>；未经甲方事先书面同意，乙方不得将在履行本合同中取得的数据、技术文档、成果等资料提供给与本合同无关的任何第三方。</w:t>
      </w:r>
      <w:r>
        <w:rPr>
          <w:rFonts w:asciiTheme="minorEastAsia" w:hAnsiTheme="minorEastAsia" w:eastAsiaTheme="minorEastAsia"/>
          <w:sz w:val="24"/>
          <w:szCs w:val="24"/>
        </w:rPr>
        <w:t>即使向与履行本合同有关的人员提供，也应注意保密并限于履行本合同所必需的范围。</w:t>
      </w:r>
    </w:p>
    <w:p w14:paraId="1DBD12A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b/>
          <w:sz w:val="24"/>
          <w:szCs w:val="24"/>
        </w:rPr>
      </w:pPr>
      <w:r>
        <w:rPr>
          <w:rFonts w:hint="eastAsia" w:asciiTheme="minorEastAsia" w:hAnsiTheme="minorEastAsia" w:eastAsiaTheme="minorEastAsia"/>
          <w:sz w:val="24"/>
          <w:szCs w:val="24"/>
          <w:lang w:val="en-US" w:eastAsia="zh-CN"/>
        </w:rPr>
        <w:t>3</w:t>
      </w:r>
      <w:r>
        <w:rPr>
          <w:rFonts w:asciiTheme="minorEastAsia" w:hAnsiTheme="minorEastAsia" w:eastAsiaTheme="minorEastAsia"/>
          <w:sz w:val="24"/>
          <w:szCs w:val="24"/>
        </w:rPr>
        <w:t>.除了合同本身之外，上款所列举的任何物件均是甲方的财产。乙方应当在完成合同后将这些物件及全部复制件还给甲方，甲方同意由乙方持有的除外。</w:t>
      </w:r>
    </w:p>
    <w:p w14:paraId="2708134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b/>
          <w:sz w:val="24"/>
          <w:szCs w:val="24"/>
        </w:rPr>
      </w:pPr>
      <w:r>
        <w:rPr>
          <w:rFonts w:hint="eastAsia" w:asciiTheme="minorEastAsia" w:hAnsiTheme="minorEastAsia" w:eastAsiaTheme="minorEastAsia"/>
          <w:b/>
          <w:sz w:val="24"/>
          <w:szCs w:val="24"/>
        </w:rPr>
        <w:t>第八条</w:t>
      </w:r>
      <w:r>
        <w:rPr>
          <w:rFonts w:asciiTheme="minorEastAsia" w:hAnsiTheme="minorEastAsia" w:eastAsiaTheme="minorEastAsia"/>
          <w:b/>
          <w:sz w:val="24"/>
          <w:szCs w:val="24"/>
        </w:rPr>
        <w:t xml:space="preserve"> 技术服务报酬及支付方式</w:t>
      </w:r>
    </w:p>
    <w:p w14:paraId="4159842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b/>
          <w:sz w:val="24"/>
          <w:szCs w:val="24"/>
        </w:rPr>
      </w:pPr>
      <w:r>
        <w:rPr>
          <w:rFonts w:asciiTheme="minorEastAsia" w:hAnsiTheme="minorEastAsia" w:eastAsiaTheme="minorEastAsia"/>
          <w:sz w:val="24"/>
          <w:szCs w:val="24"/>
        </w:rPr>
        <w:t>1</w:t>
      </w:r>
      <w:r>
        <w:rPr>
          <w:rFonts w:hint="eastAsia" w:asciiTheme="minorEastAsia" w:hAnsiTheme="minorEastAsia" w:eastAsiaTheme="minorEastAsia"/>
          <w:sz w:val="24"/>
          <w:szCs w:val="24"/>
        </w:rPr>
        <w:t>.</w:t>
      </w:r>
      <w:r>
        <w:rPr>
          <w:rFonts w:asciiTheme="minorEastAsia" w:hAnsiTheme="minorEastAsia" w:eastAsiaTheme="minorEastAsia"/>
          <w:sz w:val="24"/>
          <w:szCs w:val="24"/>
        </w:rPr>
        <w:t>技术服务费总额为：</w:t>
      </w:r>
      <w:r>
        <w:rPr>
          <w:rFonts w:asciiTheme="minorEastAsia" w:hAnsiTheme="minorEastAsia" w:eastAsiaTheme="minorEastAsia"/>
          <w:sz w:val="24"/>
          <w:szCs w:val="24"/>
          <w:u w:val="single"/>
        </w:rPr>
        <w:t>大写</w:t>
      </w:r>
      <w:r>
        <w:rPr>
          <w:rFonts w:hint="eastAsia" w:asciiTheme="minorEastAsia" w:hAnsiTheme="minorEastAsia" w:eastAsiaTheme="minorEastAsia"/>
          <w:sz w:val="24"/>
          <w:szCs w:val="24"/>
          <w:u w:val="single"/>
          <w:lang w:eastAsia="zh-CN"/>
        </w:rPr>
        <w:t>：</w:t>
      </w:r>
      <w:r>
        <w:rPr>
          <w:rFonts w:asciiTheme="minorEastAsia" w:hAnsiTheme="minorEastAsia" w:eastAsiaTheme="minorEastAsia"/>
          <w:sz w:val="24"/>
          <w:szCs w:val="24"/>
          <w:u w:val="single"/>
        </w:rPr>
        <w:t>人民币</w:t>
      </w:r>
      <w:r>
        <w:rPr>
          <w:rFonts w:hint="eastAsia" w:asciiTheme="minorEastAsia" w:hAnsiTheme="minorEastAsia" w:eastAsiaTheme="minorEastAsia"/>
          <w:sz w:val="24"/>
          <w:szCs w:val="24"/>
          <w:u w:val="single"/>
        </w:rPr>
        <w:t xml:space="preserve"> </w:t>
      </w:r>
      <w:r>
        <w:rPr>
          <w:rFonts w:asciiTheme="minorEastAsia" w:hAnsiTheme="minorEastAsia" w:eastAsiaTheme="minorEastAsia"/>
          <w:sz w:val="24"/>
          <w:szCs w:val="24"/>
          <w:u w:val="single"/>
        </w:rPr>
        <w:t xml:space="preserve">      （小写：￥      元</w:t>
      </w:r>
      <w:r>
        <w:rPr>
          <w:rFonts w:asciiTheme="minorEastAsia" w:hAnsiTheme="minorEastAsia" w:eastAsiaTheme="minorEastAsia"/>
          <w:sz w:val="24"/>
          <w:szCs w:val="24"/>
        </w:rPr>
        <w:t>）。</w:t>
      </w:r>
      <w:r>
        <w:rPr>
          <w:rFonts w:hint="eastAsia" w:asciiTheme="minorEastAsia" w:hAnsiTheme="minorEastAsia" w:eastAsiaTheme="minorEastAsia"/>
          <w:sz w:val="24"/>
          <w:szCs w:val="24"/>
        </w:rPr>
        <w:t>其中：增值税税率为</w:t>
      </w:r>
      <w:r>
        <w:rPr>
          <w:rFonts w:hint="eastAsia" w:asciiTheme="minorEastAsia" w:hAnsiTheme="minorEastAsia" w:eastAsiaTheme="minorEastAsia"/>
          <w:sz w:val="24"/>
          <w:szCs w:val="24"/>
          <w:u w:val="single"/>
        </w:rPr>
        <w:t xml:space="preserve"> </w:t>
      </w:r>
      <w:r>
        <w:rPr>
          <w:rFonts w:asciiTheme="minorEastAsia" w:hAnsiTheme="minorEastAsia" w:eastAsiaTheme="minorEastAsia"/>
          <w:sz w:val="24"/>
          <w:szCs w:val="24"/>
          <w:u w:val="single"/>
        </w:rPr>
        <w:t xml:space="preserve">   %</w:t>
      </w:r>
      <w:r>
        <w:rPr>
          <w:rFonts w:asciiTheme="minorEastAsia" w:hAnsiTheme="minorEastAsia" w:eastAsiaTheme="minorEastAsia"/>
          <w:sz w:val="24"/>
          <w:szCs w:val="24"/>
        </w:rPr>
        <w:t>，税金为</w:t>
      </w:r>
      <w:r>
        <w:rPr>
          <w:rFonts w:asciiTheme="minorEastAsia" w:hAnsiTheme="minorEastAsia" w:eastAsiaTheme="minorEastAsia"/>
          <w:sz w:val="24"/>
          <w:szCs w:val="24"/>
          <w:u w:val="single"/>
        </w:rPr>
        <w:t xml:space="preserve">¥      </w:t>
      </w:r>
      <w:r>
        <w:rPr>
          <w:rFonts w:asciiTheme="minorEastAsia" w:hAnsiTheme="minorEastAsia" w:eastAsiaTheme="minorEastAsia"/>
          <w:sz w:val="24"/>
          <w:szCs w:val="24"/>
        </w:rPr>
        <w:t>元，不含税总额</w:t>
      </w:r>
      <w:r>
        <w:rPr>
          <w:rFonts w:asciiTheme="minorEastAsia" w:hAnsiTheme="minorEastAsia" w:eastAsiaTheme="minorEastAsia"/>
          <w:sz w:val="24"/>
          <w:szCs w:val="24"/>
          <w:u w:val="single"/>
        </w:rPr>
        <w:t>为¥       元</w:t>
      </w:r>
      <w:r>
        <w:rPr>
          <w:rFonts w:asciiTheme="minorEastAsia" w:hAnsiTheme="minorEastAsia" w:eastAsiaTheme="minorEastAsia"/>
          <w:sz w:val="24"/>
          <w:szCs w:val="24"/>
        </w:rPr>
        <w:t>。</w:t>
      </w:r>
      <w:r>
        <w:rPr>
          <w:rFonts w:hint="eastAsia" w:asciiTheme="minorEastAsia" w:hAnsiTheme="minorEastAsia" w:eastAsiaTheme="minorEastAsia"/>
          <w:sz w:val="24"/>
          <w:szCs w:val="24"/>
        </w:rPr>
        <w:t>如遇国家调整税率，不含税合同款不予调整，税金按调整后税率及相关细则执行。</w:t>
      </w:r>
    </w:p>
    <w:p w14:paraId="4630DA1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asciiTheme="minorEastAsia" w:hAnsiTheme="minorEastAsia" w:eastAsiaTheme="minorEastAsia"/>
          <w:sz w:val="24"/>
          <w:szCs w:val="24"/>
        </w:rPr>
        <w:t>本</w:t>
      </w:r>
      <w:r>
        <w:rPr>
          <w:rFonts w:hint="eastAsia" w:asciiTheme="minorEastAsia" w:hAnsiTheme="minorEastAsia" w:eastAsiaTheme="minorEastAsia"/>
          <w:sz w:val="24"/>
          <w:szCs w:val="24"/>
          <w:lang w:val="en-US" w:eastAsia="zh-CN"/>
        </w:rPr>
        <w:t>合同价为固定总价包干，合同价</w:t>
      </w:r>
      <w:r>
        <w:rPr>
          <w:rFonts w:hint="eastAsia" w:asciiTheme="minorEastAsia" w:hAnsiTheme="minorEastAsia" w:eastAsiaTheme="minorEastAsia"/>
          <w:sz w:val="24"/>
          <w:szCs w:val="24"/>
        </w:rPr>
        <w:t>包括但不限于环境影响评价（含现状调查、监测、报告编制、评审等）</w:t>
      </w:r>
      <w:r>
        <w:rPr>
          <w:rFonts w:hint="eastAsia" w:asciiTheme="minorEastAsia" w:hAnsiTheme="minorEastAsia" w:eastAsiaTheme="minorEastAsia"/>
          <w:sz w:val="24"/>
          <w:szCs w:val="24"/>
          <w:lang w:val="en-US" w:eastAsia="zh-CN"/>
        </w:rPr>
        <w:t>、</w:t>
      </w:r>
      <w:r>
        <w:rPr>
          <w:rFonts w:hint="eastAsia" w:asciiTheme="minorEastAsia" w:hAnsiTheme="minorEastAsia" w:eastAsiaTheme="minorEastAsia"/>
          <w:sz w:val="24"/>
          <w:szCs w:val="24"/>
        </w:rPr>
        <w:t>突发环境事件应急预案编制及备案</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含风险评估、资源调查、预案撰写、专家评审</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lang w:val="en-US" w:eastAsia="zh-CN"/>
        </w:rPr>
        <w:t>及</w:t>
      </w:r>
      <w:r>
        <w:rPr>
          <w:rFonts w:hint="eastAsia" w:asciiTheme="minorEastAsia" w:hAnsiTheme="minorEastAsia" w:eastAsiaTheme="minorEastAsia"/>
          <w:sz w:val="24"/>
          <w:szCs w:val="24"/>
        </w:rPr>
        <w:t>竣工环境保护验收（含验收监测、验收报告编制、专家评审、备案协助等）</w:t>
      </w:r>
      <w:r>
        <w:rPr>
          <w:rFonts w:hint="eastAsia" w:asciiTheme="minorEastAsia" w:hAnsiTheme="minorEastAsia" w:eastAsiaTheme="minorEastAsia"/>
          <w:sz w:val="24"/>
          <w:szCs w:val="24"/>
          <w:lang w:val="en-US" w:eastAsia="zh-CN"/>
        </w:rPr>
        <w:t>等</w:t>
      </w:r>
      <w:r>
        <w:rPr>
          <w:rFonts w:hint="eastAsia" w:asciiTheme="minorEastAsia" w:hAnsiTheme="minorEastAsia" w:eastAsiaTheme="minorEastAsia"/>
          <w:sz w:val="24"/>
          <w:szCs w:val="24"/>
        </w:rPr>
        <w:t>相关技术服务</w:t>
      </w:r>
      <w:r>
        <w:rPr>
          <w:rFonts w:hint="eastAsia" w:asciiTheme="minorEastAsia" w:hAnsiTheme="minorEastAsia" w:eastAsiaTheme="minorEastAsia"/>
          <w:sz w:val="24"/>
          <w:szCs w:val="24"/>
          <w:lang w:val="en-US" w:eastAsia="zh-CN"/>
        </w:rPr>
        <w:t>产生的费用</w:t>
      </w:r>
      <w:r>
        <w:rPr>
          <w:rFonts w:hint="eastAsia" w:asciiTheme="minorEastAsia" w:hAnsiTheme="minorEastAsia" w:eastAsiaTheme="minorEastAsia"/>
          <w:sz w:val="24"/>
          <w:szCs w:val="24"/>
        </w:rPr>
        <w:t>，自主办公费（办公耗材、照明、水、通讯）、印刷费、交通费、税费等其他相关费用及合同实施过程中应预见和不可预见的所有费用</w:t>
      </w:r>
      <w:r>
        <w:rPr>
          <w:rFonts w:hint="eastAsia" w:asciiTheme="minorEastAsia" w:hAnsiTheme="minorEastAsia"/>
          <w:sz w:val="24"/>
          <w:szCs w:val="24"/>
          <w:lang w:eastAsia="zh-CN"/>
        </w:rPr>
        <w:t>。</w:t>
      </w:r>
      <w:r>
        <w:rPr>
          <w:rFonts w:hint="eastAsia" w:asciiTheme="minorEastAsia" w:hAnsiTheme="minorEastAsia" w:eastAsiaTheme="minorEastAsia"/>
          <w:sz w:val="24"/>
          <w:szCs w:val="24"/>
        </w:rPr>
        <w:t>除</w:t>
      </w:r>
      <w:r>
        <w:rPr>
          <w:rFonts w:hint="eastAsia" w:asciiTheme="minorEastAsia" w:hAnsiTheme="minorEastAsia"/>
          <w:sz w:val="24"/>
        </w:rPr>
        <w:t>甲方书面提出变更论证范围、变更主要工程方案或采用新的评价标准</w:t>
      </w:r>
      <w:r>
        <w:rPr>
          <w:rFonts w:hint="eastAsia" w:asciiTheme="minorEastAsia" w:hAnsiTheme="minorEastAsia" w:eastAsiaTheme="minorEastAsia"/>
          <w:sz w:val="24"/>
          <w:szCs w:val="24"/>
        </w:rPr>
        <w:t>导致需复测可协商调整</w:t>
      </w:r>
      <w:r>
        <w:rPr>
          <w:rFonts w:hint="eastAsia" w:asciiTheme="minorEastAsia" w:hAnsiTheme="minorEastAsia"/>
          <w:sz w:val="24"/>
          <w:szCs w:val="24"/>
          <w:lang w:val="en-US" w:eastAsia="zh-CN"/>
        </w:rPr>
        <w:t>服务费外，本合同项下乙方提供相应服务所涉及的一切</w:t>
      </w:r>
      <w:r>
        <w:rPr>
          <w:rFonts w:hint="eastAsia" w:asciiTheme="minorEastAsia" w:hAnsiTheme="minorEastAsia"/>
          <w:sz w:val="24"/>
        </w:rPr>
        <w:t>费用均已包含在合同总价内，甲方无需另行支付。</w:t>
      </w:r>
      <w:r>
        <w:rPr>
          <w:rFonts w:hint="eastAsia" w:asciiTheme="minorEastAsia" w:hAnsiTheme="minorEastAsia" w:eastAsiaTheme="minorEastAsia"/>
          <w:sz w:val="24"/>
          <w:szCs w:val="24"/>
        </w:rPr>
        <w:t>由于乙方</w:t>
      </w:r>
      <w:r>
        <w:rPr>
          <w:rFonts w:hint="eastAsia" w:asciiTheme="minorEastAsia" w:hAnsiTheme="minorEastAsia"/>
          <w:sz w:val="24"/>
          <w:szCs w:val="24"/>
          <w:lang w:val="en-US" w:eastAsia="zh-CN"/>
        </w:rPr>
        <w:t>根据本合同约定出具的各项</w:t>
      </w:r>
      <w:r>
        <w:rPr>
          <w:rFonts w:hint="eastAsia" w:asciiTheme="minorEastAsia" w:hAnsiTheme="minorEastAsia" w:eastAsiaTheme="minorEastAsia"/>
          <w:sz w:val="24"/>
          <w:szCs w:val="24"/>
        </w:rPr>
        <w:t>报告不能达到专家评审会的要求，</w:t>
      </w:r>
      <w:r>
        <w:rPr>
          <w:rFonts w:hint="eastAsia" w:asciiTheme="minorEastAsia" w:hAnsiTheme="minorEastAsia"/>
          <w:sz w:val="24"/>
          <w:szCs w:val="24"/>
          <w:lang w:val="en-US" w:eastAsia="zh-CN"/>
        </w:rPr>
        <w:t>乙方负责</w:t>
      </w:r>
      <w:r>
        <w:rPr>
          <w:rFonts w:hint="eastAsia" w:asciiTheme="minorEastAsia" w:hAnsiTheme="minorEastAsia" w:eastAsiaTheme="minorEastAsia"/>
          <w:sz w:val="24"/>
          <w:szCs w:val="24"/>
        </w:rPr>
        <w:t>返工，</w:t>
      </w:r>
      <w:r>
        <w:rPr>
          <w:rFonts w:hint="eastAsia" w:asciiTheme="minorEastAsia" w:hAnsiTheme="minorEastAsia"/>
          <w:sz w:val="24"/>
          <w:szCs w:val="24"/>
          <w:lang w:val="en-US" w:eastAsia="zh-CN"/>
        </w:rPr>
        <w:t>本合同价款</w:t>
      </w:r>
      <w:r>
        <w:rPr>
          <w:rFonts w:hint="eastAsia" w:asciiTheme="minorEastAsia" w:hAnsiTheme="minorEastAsia" w:eastAsiaTheme="minorEastAsia"/>
          <w:sz w:val="24"/>
          <w:szCs w:val="24"/>
        </w:rPr>
        <w:t>不</w:t>
      </w:r>
      <w:r>
        <w:rPr>
          <w:rFonts w:hint="eastAsia" w:asciiTheme="minorEastAsia" w:hAnsiTheme="minorEastAsia"/>
          <w:sz w:val="24"/>
          <w:szCs w:val="24"/>
          <w:lang w:val="en-US" w:eastAsia="zh-CN"/>
        </w:rPr>
        <w:t>因此</w:t>
      </w:r>
      <w:r>
        <w:rPr>
          <w:rFonts w:hint="eastAsia" w:asciiTheme="minorEastAsia" w:hAnsiTheme="minorEastAsia" w:eastAsiaTheme="minorEastAsia"/>
          <w:sz w:val="24"/>
          <w:szCs w:val="24"/>
        </w:rPr>
        <w:t>做</w:t>
      </w:r>
      <w:r>
        <w:rPr>
          <w:rFonts w:hint="eastAsia" w:asciiTheme="minorEastAsia" w:hAnsiTheme="minorEastAsia"/>
          <w:sz w:val="24"/>
          <w:szCs w:val="24"/>
          <w:lang w:val="en-US" w:eastAsia="zh-CN"/>
        </w:rPr>
        <w:t>任何</w:t>
      </w:r>
      <w:r>
        <w:rPr>
          <w:rFonts w:hint="eastAsia" w:asciiTheme="minorEastAsia" w:hAnsiTheme="minorEastAsia" w:eastAsiaTheme="minorEastAsia"/>
          <w:sz w:val="24"/>
          <w:szCs w:val="24"/>
        </w:rPr>
        <w:t>调整，</w:t>
      </w:r>
      <w:r>
        <w:rPr>
          <w:rFonts w:hint="eastAsia" w:asciiTheme="minorEastAsia" w:hAnsiTheme="minorEastAsia"/>
          <w:sz w:val="24"/>
          <w:szCs w:val="24"/>
          <w:lang w:val="en-US" w:eastAsia="zh-CN"/>
        </w:rPr>
        <w:t>且</w:t>
      </w:r>
      <w:r>
        <w:rPr>
          <w:rFonts w:hint="eastAsia" w:asciiTheme="minorEastAsia" w:hAnsiTheme="minorEastAsia" w:eastAsiaTheme="minorEastAsia"/>
          <w:sz w:val="24"/>
          <w:szCs w:val="24"/>
        </w:rPr>
        <w:t>甲方有权就乙方需要返工部分追究其违约责任。</w:t>
      </w:r>
      <w:r>
        <w:rPr>
          <w:rFonts w:asciiTheme="minorEastAsia" w:hAnsiTheme="minorEastAsia" w:eastAsiaTheme="minorEastAsia"/>
          <w:sz w:val="24"/>
          <w:szCs w:val="24"/>
        </w:rPr>
        <w:t>各项子项目费用详见附件《报价清单》。</w:t>
      </w:r>
    </w:p>
    <w:p w14:paraId="3675B2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asciiTheme="minorEastAsia" w:hAnsiTheme="minorEastAsia" w:eastAsiaTheme="minorEastAsia"/>
          <w:sz w:val="24"/>
          <w:szCs w:val="24"/>
        </w:rPr>
        <w:t>2</w:t>
      </w:r>
      <w:r>
        <w:rPr>
          <w:rFonts w:hint="eastAsia" w:asciiTheme="minorEastAsia" w:hAnsiTheme="minorEastAsia" w:eastAsiaTheme="minorEastAsia"/>
          <w:sz w:val="24"/>
          <w:szCs w:val="24"/>
        </w:rPr>
        <w:t>.</w:t>
      </w:r>
      <w:r>
        <w:rPr>
          <w:rFonts w:asciiTheme="minorEastAsia" w:hAnsiTheme="minorEastAsia" w:eastAsiaTheme="minorEastAsia"/>
          <w:sz w:val="24"/>
          <w:szCs w:val="24"/>
        </w:rPr>
        <w:t>支付方式</w:t>
      </w:r>
    </w:p>
    <w:p w14:paraId="113FFA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（一）</w:t>
      </w:r>
      <w:r>
        <w:rPr>
          <w:rFonts w:hint="eastAsia" w:asciiTheme="minorEastAsia" w:hAnsiTheme="minorEastAsia" w:eastAsiaTheme="minorEastAsia"/>
          <w:sz w:val="24"/>
          <w:szCs w:val="24"/>
          <w:lang w:val="en-US" w:eastAsia="zh-CN"/>
        </w:rPr>
        <w:t>预付款：</w:t>
      </w:r>
      <w:r>
        <w:rPr>
          <w:rFonts w:hint="eastAsia" w:asciiTheme="minorEastAsia" w:hAnsiTheme="minorEastAsia" w:eastAsiaTheme="minorEastAsia"/>
          <w:sz w:val="24"/>
          <w:szCs w:val="24"/>
        </w:rPr>
        <w:t>合同签订后，</w:t>
      </w:r>
      <w:r>
        <w:rPr>
          <w:rFonts w:hint="eastAsia" w:asciiTheme="minorEastAsia" w:hAnsiTheme="minorEastAsia" w:eastAsiaTheme="minorEastAsia"/>
          <w:sz w:val="24"/>
          <w:szCs w:val="24"/>
          <w:lang w:val="en-US" w:eastAsia="zh-CN"/>
        </w:rPr>
        <w:t>甲方</w:t>
      </w:r>
      <w:r>
        <w:rPr>
          <w:rFonts w:hint="eastAsia" w:asciiTheme="minorEastAsia" w:hAnsiTheme="minorEastAsia" w:eastAsiaTheme="minorEastAsia"/>
          <w:sz w:val="24"/>
          <w:szCs w:val="24"/>
        </w:rPr>
        <w:t>收到</w:t>
      </w:r>
      <w:r>
        <w:rPr>
          <w:rFonts w:hint="eastAsia" w:asciiTheme="minorEastAsia" w:hAnsiTheme="minorEastAsia" w:eastAsiaTheme="minorEastAsia"/>
          <w:sz w:val="24"/>
          <w:szCs w:val="24"/>
          <w:lang w:val="en-US" w:eastAsia="zh-CN"/>
        </w:rPr>
        <w:t>乙方提交</w:t>
      </w:r>
      <w:r>
        <w:rPr>
          <w:rFonts w:hint="eastAsia" w:asciiTheme="minorEastAsia" w:hAnsiTheme="minorEastAsia" w:eastAsiaTheme="minorEastAsia"/>
          <w:sz w:val="24"/>
          <w:szCs w:val="24"/>
        </w:rPr>
        <w:t>有效的增值税专用发票和请款资料</w:t>
      </w:r>
      <w:r>
        <w:rPr>
          <w:rFonts w:hint="eastAsia" w:asciiTheme="minorEastAsia" w:hAnsiTheme="minorEastAsia" w:eastAsiaTheme="minorEastAsia"/>
          <w:sz w:val="24"/>
          <w:szCs w:val="24"/>
          <w:lang w:val="en-US" w:eastAsia="zh-CN"/>
        </w:rPr>
        <w:t>后30个日历</w:t>
      </w:r>
      <w:r>
        <w:rPr>
          <w:rFonts w:hint="eastAsia" w:asciiTheme="minorEastAsia" w:hAnsiTheme="minorEastAsia" w:eastAsiaTheme="minorEastAsia"/>
          <w:sz w:val="24"/>
          <w:szCs w:val="24"/>
        </w:rPr>
        <w:t>日内支付合同总</w:t>
      </w:r>
      <w:r>
        <w:rPr>
          <w:rFonts w:hint="eastAsia" w:asciiTheme="minorEastAsia" w:hAnsiTheme="minorEastAsia" w:eastAsiaTheme="minorEastAsia"/>
          <w:sz w:val="24"/>
          <w:szCs w:val="24"/>
          <w:lang w:val="en-US" w:eastAsia="zh-CN"/>
        </w:rPr>
        <w:t>价</w:t>
      </w:r>
      <w:r>
        <w:rPr>
          <w:rFonts w:hint="eastAsia" w:asciiTheme="minorEastAsia" w:hAnsiTheme="minorEastAsia" w:eastAsiaTheme="minorEastAsia"/>
          <w:sz w:val="24"/>
          <w:szCs w:val="24"/>
        </w:rPr>
        <w:t>的20</w:t>
      </w:r>
      <w:r>
        <w:rPr>
          <w:rFonts w:hint="eastAsia" w:asciiTheme="minorEastAsia" w:hAnsiTheme="minorEastAsia" w:eastAsiaTheme="minorEastAsia"/>
          <w:sz w:val="24"/>
          <w:szCs w:val="24"/>
          <w:lang w:val="en-US" w:eastAsia="zh-CN"/>
        </w:rPr>
        <w:t>％作为预付款。</w:t>
      </w:r>
    </w:p>
    <w:p w14:paraId="643A529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（二）</w:t>
      </w:r>
      <w:r>
        <w:rPr>
          <w:rFonts w:hint="eastAsia" w:asciiTheme="minorEastAsia" w:hAnsiTheme="minorEastAsia" w:eastAsiaTheme="minorEastAsia"/>
          <w:sz w:val="24"/>
          <w:szCs w:val="24"/>
          <w:lang w:val="en-US" w:eastAsia="zh-CN"/>
        </w:rPr>
        <w:t>乙方完成环境影响评价报告编制并取得环评批复，</w:t>
      </w:r>
      <w:r>
        <w:rPr>
          <w:rFonts w:hint="eastAsia" w:asciiTheme="minorEastAsia" w:hAnsiTheme="minorEastAsia"/>
          <w:sz w:val="24"/>
          <w:szCs w:val="24"/>
          <w:lang w:val="en-US" w:eastAsia="zh-CN"/>
        </w:rPr>
        <w:t>甲方</w:t>
      </w:r>
      <w:r>
        <w:rPr>
          <w:rFonts w:hint="eastAsia" w:asciiTheme="minorEastAsia" w:hAnsiTheme="minorEastAsia" w:eastAsiaTheme="minorEastAsia"/>
          <w:sz w:val="24"/>
          <w:szCs w:val="24"/>
        </w:rPr>
        <w:t>收到</w:t>
      </w:r>
      <w:r>
        <w:rPr>
          <w:rFonts w:hint="eastAsia" w:asciiTheme="minorEastAsia" w:hAnsiTheme="minorEastAsia" w:eastAsiaTheme="minorEastAsia"/>
          <w:sz w:val="24"/>
          <w:szCs w:val="24"/>
          <w:lang w:val="en-US" w:eastAsia="zh-CN"/>
        </w:rPr>
        <w:t>以下资料【①生态环境部门出具的正式环评批复文件（原件扫描件/复印件并加盖乙方公章）；②最终版正式环境影响评价报告书（报批终稿，纸质版+电子版）；③本阶段等额增值税专用发票】后30个日历日</w:t>
      </w:r>
      <w:r>
        <w:rPr>
          <w:rFonts w:hint="eastAsia" w:asciiTheme="minorEastAsia" w:hAnsiTheme="minorEastAsia" w:eastAsiaTheme="minorEastAsia"/>
          <w:sz w:val="24"/>
          <w:szCs w:val="24"/>
        </w:rPr>
        <w:t>内，</w:t>
      </w:r>
      <w:r>
        <w:rPr>
          <w:rFonts w:hint="eastAsia" w:asciiTheme="minorEastAsia" w:hAnsiTheme="minorEastAsia"/>
          <w:sz w:val="24"/>
          <w:szCs w:val="24"/>
          <w:lang w:val="en-US" w:eastAsia="zh-CN"/>
        </w:rPr>
        <w:t>甲方</w:t>
      </w:r>
      <w:r>
        <w:rPr>
          <w:rFonts w:hint="eastAsia" w:asciiTheme="minorEastAsia" w:hAnsiTheme="minorEastAsia" w:eastAsiaTheme="minorEastAsia"/>
          <w:sz w:val="24"/>
          <w:szCs w:val="24"/>
        </w:rPr>
        <w:t>向</w:t>
      </w:r>
      <w:r>
        <w:rPr>
          <w:rFonts w:hint="eastAsia" w:asciiTheme="minorEastAsia" w:hAnsiTheme="minorEastAsia"/>
          <w:sz w:val="24"/>
          <w:szCs w:val="24"/>
          <w:lang w:val="en-US" w:eastAsia="zh-CN"/>
        </w:rPr>
        <w:t>乙方</w:t>
      </w:r>
      <w:r>
        <w:rPr>
          <w:rFonts w:hint="eastAsia" w:asciiTheme="minorEastAsia" w:hAnsiTheme="minorEastAsia" w:eastAsiaTheme="minorEastAsia"/>
          <w:sz w:val="24"/>
          <w:szCs w:val="24"/>
        </w:rPr>
        <w:t>支付</w:t>
      </w:r>
      <w:r>
        <w:rPr>
          <w:rFonts w:hint="eastAsia" w:asciiTheme="minorEastAsia" w:hAnsiTheme="minorEastAsia"/>
          <w:sz w:val="24"/>
          <w:szCs w:val="24"/>
          <w:lang w:val="en-US" w:eastAsia="zh-CN"/>
        </w:rPr>
        <w:t>至</w:t>
      </w:r>
      <w:r>
        <w:rPr>
          <w:rFonts w:hint="eastAsia" w:asciiTheme="minorEastAsia" w:hAnsiTheme="minorEastAsia" w:eastAsiaTheme="minorEastAsia"/>
          <w:sz w:val="24"/>
          <w:szCs w:val="24"/>
        </w:rPr>
        <w:t>合同总价的</w:t>
      </w:r>
      <w:r>
        <w:rPr>
          <w:rFonts w:hint="eastAsia" w:asciiTheme="minorEastAsia" w:hAnsiTheme="minorEastAsia"/>
          <w:sz w:val="24"/>
          <w:szCs w:val="24"/>
          <w:lang w:val="en-US" w:eastAsia="zh-CN"/>
        </w:rPr>
        <w:t>6</w:t>
      </w:r>
      <w:r>
        <w:rPr>
          <w:rFonts w:hint="eastAsia" w:asciiTheme="minorEastAsia" w:hAnsiTheme="minorEastAsia" w:eastAsiaTheme="minorEastAsia"/>
          <w:sz w:val="24"/>
          <w:szCs w:val="24"/>
          <w:lang w:val="en-US" w:eastAsia="zh-CN"/>
        </w:rPr>
        <w:t>0％</w:t>
      </w:r>
      <w:r>
        <w:rPr>
          <w:rFonts w:hint="eastAsia" w:asciiTheme="minorEastAsia" w:hAnsiTheme="minorEastAsia" w:eastAsiaTheme="minorEastAsia"/>
          <w:sz w:val="24"/>
          <w:szCs w:val="24"/>
        </w:rPr>
        <w:t>；</w:t>
      </w:r>
    </w:p>
    <w:p w14:paraId="2DA8F62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w:t>
      </w:r>
      <w:r>
        <w:rPr>
          <w:rFonts w:hint="eastAsia" w:asciiTheme="minorEastAsia" w:hAnsiTheme="minorEastAsia"/>
          <w:sz w:val="24"/>
          <w:szCs w:val="24"/>
          <w:lang w:val="en-US" w:eastAsia="zh-CN"/>
        </w:rPr>
        <w:t>三</w:t>
      </w:r>
      <w:r>
        <w:rPr>
          <w:rFonts w:hint="eastAsia" w:asciiTheme="minorEastAsia" w:hAnsiTheme="minorEastAsia" w:eastAsiaTheme="minorEastAsia"/>
          <w:sz w:val="24"/>
          <w:szCs w:val="24"/>
        </w:rPr>
        <w:t>）</w:t>
      </w:r>
      <w:r>
        <w:rPr>
          <w:rFonts w:hint="eastAsia" w:asciiTheme="minorEastAsia" w:hAnsiTheme="minorEastAsia" w:eastAsiaTheme="minorEastAsia"/>
          <w:sz w:val="24"/>
          <w:szCs w:val="24"/>
          <w:lang w:val="en-US" w:eastAsia="zh-CN"/>
        </w:rPr>
        <w:t>乙</w:t>
      </w:r>
      <w:r>
        <w:rPr>
          <w:rFonts w:hint="eastAsia" w:asciiTheme="minorEastAsia" w:hAnsiTheme="minorEastAsia"/>
          <w:sz w:val="24"/>
          <w:szCs w:val="24"/>
          <w:lang w:val="en-US" w:eastAsia="zh-CN"/>
        </w:rPr>
        <w:t>方</w:t>
      </w:r>
      <w:r>
        <w:rPr>
          <w:rFonts w:hint="eastAsia" w:asciiTheme="minorEastAsia" w:hAnsiTheme="minorEastAsia" w:eastAsiaTheme="minorEastAsia"/>
          <w:sz w:val="24"/>
          <w:szCs w:val="24"/>
        </w:rPr>
        <w:t>完成突发环境事件应急预案编制及备案，</w:t>
      </w:r>
      <w:r>
        <w:rPr>
          <w:rFonts w:hint="eastAsia" w:asciiTheme="minorEastAsia" w:hAnsiTheme="minorEastAsia"/>
          <w:sz w:val="24"/>
          <w:szCs w:val="24"/>
          <w:lang w:val="en-US" w:eastAsia="zh-CN"/>
        </w:rPr>
        <w:t>甲方</w:t>
      </w:r>
      <w:r>
        <w:rPr>
          <w:rFonts w:hint="eastAsia" w:asciiTheme="minorEastAsia" w:hAnsiTheme="minorEastAsia" w:eastAsiaTheme="minorEastAsia"/>
          <w:sz w:val="24"/>
          <w:szCs w:val="24"/>
        </w:rPr>
        <w:t>收到</w:t>
      </w:r>
      <w:r>
        <w:rPr>
          <w:rFonts w:hint="eastAsia" w:asciiTheme="minorEastAsia" w:hAnsiTheme="minorEastAsia" w:eastAsiaTheme="minorEastAsia"/>
          <w:sz w:val="24"/>
          <w:szCs w:val="24"/>
          <w:lang w:val="en-US" w:eastAsia="zh-CN"/>
        </w:rPr>
        <w:t>以下资料【①突发环境事件应急预案正式文本；②应急预案备案回执/备案证明文件；③本阶段等额增值税专用发票】后</w:t>
      </w:r>
      <w:r>
        <w:rPr>
          <w:rFonts w:hint="eastAsia" w:asciiTheme="minorEastAsia" w:hAnsiTheme="minorEastAsia" w:eastAsiaTheme="minorEastAsia"/>
          <w:sz w:val="24"/>
          <w:szCs w:val="24"/>
        </w:rPr>
        <w:t>30个日历日内，</w:t>
      </w:r>
      <w:r>
        <w:rPr>
          <w:rFonts w:hint="eastAsia" w:asciiTheme="minorEastAsia" w:hAnsiTheme="minorEastAsia"/>
          <w:sz w:val="24"/>
          <w:szCs w:val="24"/>
          <w:lang w:val="en-US" w:eastAsia="zh-CN"/>
        </w:rPr>
        <w:t>甲方</w:t>
      </w:r>
      <w:r>
        <w:rPr>
          <w:rFonts w:hint="eastAsia" w:asciiTheme="minorEastAsia" w:hAnsiTheme="minorEastAsia" w:eastAsiaTheme="minorEastAsia"/>
          <w:sz w:val="24"/>
          <w:szCs w:val="24"/>
        </w:rPr>
        <w:t>向</w:t>
      </w:r>
      <w:r>
        <w:rPr>
          <w:rFonts w:hint="eastAsia" w:asciiTheme="minorEastAsia" w:hAnsiTheme="minorEastAsia"/>
          <w:sz w:val="24"/>
          <w:szCs w:val="24"/>
          <w:lang w:val="en-US" w:eastAsia="zh-CN"/>
        </w:rPr>
        <w:t>乙方</w:t>
      </w:r>
      <w:r>
        <w:rPr>
          <w:rFonts w:hint="eastAsia" w:asciiTheme="minorEastAsia" w:hAnsiTheme="minorEastAsia" w:eastAsiaTheme="minorEastAsia"/>
          <w:sz w:val="24"/>
          <w:szCs w:val="24"/>
        </w:rPr>
        <w:t>支付</w:t>
      </w:r>
      <w:r>
        <w:rPr>
          <w:rFonts w:hint="eastAsia" w:asciiTheme="minorEastAsia" w:hAnsiTheme="minorEastAsia"/>
          <w:sz w:val="24"/>
          <w:szCs w:val="24"/>
          <w:lang w:val="en-US" w:eastAsia="zh-CN"/>
        </w:rPr>
        <w:t>至</w:t>
      </w:r>
      <w:r>
        <w:rPr>
          <w:rFonts w:hint="eastAsia" w:asciiTheme="minorEastAsia" w:hAnsiTheme="minorEastAsia" w:eastAsiaTheme="minorEastAsia"/>
          <w:sz w:val="24"/>
          <w:szCs w:val="24"/>
        </w:rPr>
        <w:t>合同总价的</w:t>
      </w:r>
      <w:r>
        <w:rPr>
          <w:rFonts w:hint="eastAsia" w:asciiTheme="minorEastAsia" w:hAnsiTheme="minorEastAsia"/>
          <w:sz w:val="24"/>
          <w:szCs w:val="24"/>
          <w:lang w:val="en-US" w:eastAsia="zh-CN"/>
        </w:rPr>
        <w:t>7</w:t>
      </w:r>
      <w:r>
        <w:rPr>
          <w:rFonts w:hint="eastAsia" w:asciiTheme="minorEastAsia" w:hAnsiTheme="minorEastAsia" w:eastAsiaTheme="minorEastAsia"/>
          <w:sz w:val="24"/>
          <w:szCs w:val="24"/>
          <w:lang w:val="en-US" w:eastAsia="zh-CN"/>
        </w:rPr>
        <w:t>0％</w:t>
      </w:r>
      <w:r>
        <w:rPr>
          <w:rFonts w:hint="eastAsia" w:asciiTheme="minorEastAsia" w:hAnsiTheme="minorEastAsia" w:eastAsiaTheme="minorEastAsia"/>
          <w:sz w:val="24"/>
          <w:szCs w:val="24"/>
        </w:rPr>
        <w:t>；</w:t>
      </w:r>
    </w:p>
    <w:p w14:paraId="3112BC4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rPr>
        <w:t>（</w:t>
      </w:r>
      <w:r>
        <w:rPr>
          <w:rFonts w:hint="eastAsia" w:asciiTheme="minorEastAsia" w:hAnsiTheme="minorEastAsia"/>
          <w:sz w:val="24"/>
          <w:szCs w:val="24"/>
          <w:lang w:val="en-US" w:eastAsia="zh-CN"/>
        </w:rPr>
        <w:t>四</w:t>
      </w:r>
      <w:r>
        <w:rPr>
          <w:rFonts w:hint="eastAsia" w:asciiTheme="minorEastAsia" w:hAnsiTheme="minorEastAsia" w:eastAsiaTheme="minorEastAsia"/>
          <w:sz w:val="24"/>
          <w:szCs w:val="24"/>
        </w:rPr>
        <w:t>）</w:t>
      </w:r>
      <w:r>
        <w:rPr>
          <w:rFonts w:hint="eastAsia" w:asciiTheme="minorEastAsia" w:hAnsiTheme="minorEastAsia"/>
          <w:sz w:val="24"/>
          <w:szCs w:val="24"/>
          <w:lang w:val="en-US" w:eastAsia="zh-CN"/>
        </w:rPr>
        <w:t>乙方</w:t>
      </w:r>
      <w:r>
        <w:rPr>
          <w:rFonts w:hint="eastAsia" w:asciiTheme="minorEastAsia" w:hAnsiTheme="minorEastAsia" w:eastAsiaTheme="minorEastAsia"/>
          <w:sz w:val="24"/>
          <w:szCs w:val="24"/>
        </w:rPr>
        <w:t>完成竣工环境保护验收</w:t>
      </w:r>
      <w:r>
        <w:rPr>
          <w:rFonts w:hint="eastAsia" w:asciiTheme="minorEastAsia" w:hAnsiTheme="minorEastAsia" w:eastAsiaTheme="minorEastAsia"/>
          <w:sz w:val="24"/>
          <w:szCs w:val="24"/>
          <w:lang w:val="en-US" w:eastAsia="zh-CN"/>
        </w:rPr>
        <w:t>并通过专家验收</w:t>
      </w:r>
      <w:r>
        <w:rPr>
          <w:rFonts w:hint="eastAsia" w:asciiTheme="minorEastAsia" w:hAnsiTheme="minorEastAsia" w:eastAsiaTheme="minorEastAsia"/>
          <w:sz w:val="24"/>
          <w:szCs w:val="24"/>
        </w:rPr>
        <w:t>，</w:t>
      </w:r>
      <w:r>
        <w:rPr>
          <w:rFonts w:hint="eastAsia" w:asciiTheme="minorEastAsia" w:hAnsiTheme="minorEastAsia"/>
          <w:sz w:val="24"/>
          <w:szCs w:val="24"/>
          <w:lang w:val="en-US" w:eastAsia="zh-CN"/>
        </w:rPr>
        <w:t>甲方</w:t>
      </w:r>
      <w:r>
        <w:rPr>
          <w:rFonts w:hint="eastAsia" w:asciiTheme="minorEastAsia" w:hAnsiTheme="minorEastAsia" w:eastAsiaTheme="minorEastAsia"/>
          <w:sz w:val="24"/>
          <w:szCs w:val="24"/>
        </w:rPr>
        <w:t>收到</w:t>
      </w:r>
      <w:r>
        <w:rPr>
          <w:rFonts w:hint="eastAsia" w:asciiTheme="minorEastAsia" w:hAnsiTheme="minorEastAsia" w:eastAsiaTheme="minorEastAsia"/>
          <w:sz w:val="24"/>
          <w:szCs w:val="24"/>
          <w:lang w:val="en-US" w:eastAsia="zh-CN"/>
        </w:rPr>
        <w:t>以下资料【①竣工环保验收报告全套文本；②验收专家评审意见、验收公示证明材料；③竣工环保验收相关全套支撑资料；④本阶段等额增值税专用发票】后</w:t>
      </w:r>
      <w:r>
        <w:rPr>
          <w:rFonts w:hint="eastAsia" w:asciiTheme="minorEastAsia" w:hAnsiTheme="minorEastAsia" w:eastAsiaTheme="minorEastAsia"/>
          <w:sz w:val="24"/>
          <w:szCs w:val="24"/>
        </w:rPr>
        <w:t>30个日历日内，</w:t>
      </w:r>
      <w:r>
        <w:rPr>
          <w:rFonts w:hint="eastAsia" w:asciiTheme="minorEastAsia" w:hAnsiTheme="minorEastAsia"/>
          <w:sz w:val="24"/>
          <w:szCs w:val="24"/>
          <w:lang w:val="en-US" w:eastAsia="zh-CN"/>
        </w:rPr>
        <w:t>甲方</w:t>
      </w:r>
      <w:r>
        <w:rPr>
          <w:rFonts w:hint="eastAsia" w:asciiTheme="minorEastAsia" w:hAnsiTheme="minorEastAsia" w:eastAsiaTheme="minorEastAsia"/>
          <w:sz w:val="24"/>
          <w:szCs w:val="24"/>
        </w:rPr>
        <w:t>向</w:t>
      </w:r>
      <w:r>
        <w:rPr>
          <w:rFonts w:hint="eastAsia" w:asciiTheme="minorEastAsia" w:hAnsiTheme="minorEastAsia"/>
          <w:sz w:val="24"/>
          <w:szCs w:val="24"/>
          <w:lang w:val="en-US" w:eastAsia="zh-CN"/>
        </w:rPr>
        <w:t>乙方</w:t>
      </w:r>
      <w:r>
        <w:rPr>
          <w:rFonts w:hint="eastAsia" w:asciiTheme="minorEastAsia" w:hAnsiTheme="minorEastAsia" w:eastAsiaTheme="minorEastAsia"/>
          <w:sz w:val="24"/>
          <w:szCs w:val="24"/>
        </w:rPr>
        <w:t>支付</w:t>
      </w:r>
      <w:r>
        <w:rPr>
          <w:rFonts w:hint="eastAsia" w:asciiTheme="minorEastAsia" w:hAnsiTheme="minorEastAsia"/>
          <w:sz w:val="24"/>
          <w:szCs w:val="24"/>
          <w:lang w:val="en-US" w:eastAsia="zh-CN"/>
        </w:rPr>
        <w:t>至</w:t>
      </w:r>
      <w:r>
        <w:rPr>
          <w:rFonts w:hint="eastAsia" w:asciiTheme="minorEastAsia" w:hAnsiTheme="minorEastAsia" w:eastAsiaTheme="minorEastAsia"/>
          <w:sz w:val="24"/>
          <w:szCs w:val="24"/>
        </w:rPr>
        <w:t>合同总价的</w:t>
      </w:r>
      <w:r>
        <w:rPr>
          <w:rFonts w:hint="eastAsia" w:asciiTheme="minorEastAsia" w:hAnsiTheme="minorEastAsia"/>
          <w:sz w:val="24"/>
          <w:szCs w:val="24"/>
          <w:lang w:val="en-US" w:eastAsia="zh-CN"/>
        </w:rPr>
        <w:t>10</w:t>
      </w:r>
      <w:r>
        <w:rPr>
          <w:rFonts w:hint="eastAsia" w:asciiTheme="minorEastAsia" w:hAnsiTheme="minorEastAsia" w:eastAsiaTheme="minorEastAsia"/>
          <w:sz w:val="24"/>
          <w:szCs w:val="24"/>
          <w:lang w:val="en-US" w:eastAsia="zh-CN"/>
        </w:rPr>
        <w:t>0％</w:t>
      </w:r>
      <w:r>
        <w:rPr>
          <w:rFonts w:hint="eastAsia" w:asciiTheme="minorEastAsia" w:hAnsiTheme="minorEastAsia" w:eastAsiaTheme="minorEastAsia"/>
          <w:sz w:val="24"/>
          <w:szCs w:val="24"/>
          <w:lang w:eastAsia="zh-CN"/>
        </w:rPr>
        <w:t>。</w:t>
      </w:r>
    </w:p>
    <w:p w14:paraId="07588D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rPr>
        <w:t>（</w:t>
      </w:r>
      <w:r>
        <w:rPr>
          <w:rFonts w:hint="eastAsia" w:asciiTheme="minorEastAsia" w:hAnsiTheme="minorEastAsia"/>
          <w:sz w:val="24"/>
          <w:szCs w:val="24"/>
          <w:lang w:val="en-US" w:eastAsia="zh-CN"/>
        </w:rPr>
        <w:t>五</w:t>
      </w:r>
      <w:r>
        <w:rPr>
          <w:rFonts w:hint="eastAsia" w:asciiTheme="minorEastAsia" w:hAnsiTheme="minorEastAsia" w:eastAsiaTheme="minorEastAsia"/>
          <w:sz w:val="24"/>
          <w:szCs w:val="24"/>
        </w:rPr>
        <w:t>）若因</w:t>
      </w:r>
      <w:r>
        <w:rPr>
          <w:rFonts w:hint="eastAsia" w:asciiTheme="minorEastAsia" w:hAnsiTheme="minorEastAsia" w:eastAsiaTheme="minorEastAsia"/>
          <w:sz w:val="24"/>
          <w:szCs w:val="24"/>
          <w:lang w:val="en-US" w:eastAsia="zh-CN"/>
        </w:rPr>
        <w:t>乙方</w:t>
      </w:r>
      <w:r>
        <w:rPr>
          <w:rFonts w:hint="eastAsia" w:asciiTheme="minorEastAsia" w:hAnsiTheme="minorEastAsia" w:eastAsiaTheme="minorEastAsia"/>
          <w:sz w:val="24"/>
          <w:szCs w:val="24"/>
        </w:rPr>
        <w:t>单方原因，导致其未能</w:t>
      </w:r>
      <w:r>
        <w:rPr>
          <w:rFonts w:hint="eastAsia" w:asciiTheme="minorEastAsia" w:hAnsiTheme="minorEastAsia" w:eastAsiaTheme="minorEastAsia"/>
          <w:sz w:val="24"/>
          <w:szCs w:val="24"/>
          <w:lang w:val="en-US" w:eastAsia="zh-CN"/>
        </w:rPr>
        <w:t>满足</w:t>
      </w:r>
      <w:r>
        <w:rPr>
          <w:rFonts w:hint="eastAsia" w:asciiTheme="minorEastAsia" w:hAnsiTheme="minorEastAsia" w:eastAsiaTheme="minorEastAsia"/>
          <w:sz w:val="24"/>
          <w:szCs w:val="24"/>
        </w:rPr>
        <w:t>相应服务周期内向</w:t>
      </w:r>
      <w:r>
        <w:rPr>
          <w:rFonts w:hint="eastAsia" w:asciiTheme="minorEastAsia" w:hAnsiTheme="minorEastAsia" w:eastAsiaTheme="minorEastAsia"/>
          <w:sz w:val="24"/>
          <w:szCs w:val="24"/>
          <w:lang w:val="en-US" w:eastAsia="zh-CN"/>
        </w:rPr>
        <w:t>甲方</w:t>
      </w:r>
      <w:r>
        <w:rPr>
          <w:rFonts w:hint="eastAsia" w:asciiTheme="minorEastAsia" w:hAnsiTheme="minorEastAsia" w:eastAsiaTheme="minorEastAsia"/>
          <w:sz w:val="24"/>
          <w:szCs w:val="24"/>
        </w:rPr>
        <w:t>交付关键阶段性成果（包括但不限于《环境影响评价报告书送审稿》、环评批复文件、《突发环境事件应急预案备案回执》《竣工环境保护验收专家评审意见》）的，则构成进度延误</w:t>
      </w:r>
      <w:r>
        <w:rPr>
          <w:rFonts w:hint="eastAsia" w:asciiTheme="minorEastAsia" w:hAnsiTheme="minorEastAsia" w:eastAsiaTheme="minorEastAsia"/>
          <w:sz w:val="24"/>
          <w:szCs w:val="24"/>
          <w:lang w:eastAsia="zh-CN"/>
        </w:rPr>
        <w:t>。</w:t>
      </w:r>
    </w:p>
    <w:p w14:paraId="34F72B3A">
      <w:pPr>
        <w:widowControl w:val="0"/>
        <w:adjustRightInd/>
        <w:snapToGrid/>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lang w:val="en-US" w:eastAsia="zh-CN"/>
        </w:rPr>
        <w:t>六</w:t>
      </w:r>
      <w:r>
        <w:rPr>
          <w:rFonts w:hint="eastAsia" w:asciiTheme="minorEastAsia" w:hAnsiTheme="minorEastAsia" w:eastAsiaTheme="minorEastAsia"/>
          <w:sz w:val="24"/>
          <w:szCs w:val="24"/>
          <w:lang w:eastAsia="zh-CN"/>
        </w:rPr>
        <w:t>）发生进度延误后，</w:t>
      </w:r>
      <w:r>
        <w:rPr>
          <w:rFonts w:hint="eastAsia" w:asciiTheme="minorEastAsia" w:hAnsiTheme="minorEastAsia" w:eastAsiaTheme="minorEastAsia"/>
          <w:sz w:val="24"/>
          <w:szCs w:val="24"/>
          <w:lang w:val="en-US" w:eastAsia="zh-CN"/>
        </w:rPr>
        <w:t>甲方</w:t>
      </w:r>
      <w:r>
        <w:rPr>
          <w:rFonts w:hint="eastAsia" w:asciiTheme="minorEastAsia" w:hAnsiTheme="minorEastAsia" w:eastAsiaTheme="minorEastAsia"/>
          <w:sz w:val="24"/>
          <w:szCs w:val="24"/>
          <w:lang w:eastAsia="zh-CN"/>
        </w:rPr>
        <w:t>有权采取以下措施：</w:t>
      </w:r>
    </w:p>
    <w:p w14:paraId="4C83AC0E">
      <w:pPr>
        <w:widowControl w:val="0"/>
        <w:adjustRightInd/>
        <w:snapToGrid/>
        <w:ind w:firstLine="480" w:firstLineChars="200"/>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（1）暂停付款：在延误事实持续期间，</w:t>
      </w:r>
      <w:r>
        <w:rPr>
          <w:rFonts w:hint="eastAsia" w:asciiTheme="minorEastAsia" w:hAnsiTheme="minorEastAsia" w:eastAsiaTheme="minorEastAsia"/>
          <w:sz w:val="24"/>
          <w:szCs w:val="24"/>
          <w:lang w:val="en-US" w:eastAsia="zh-CN"/>
        </w:rPr>
        <w:t>甲方</w:t>
      </w:r>
      <w:r>
        <w:rPr>
          <w:rFonts w:hint="eastAsia" w:asciiTheme="minorEastAsia" w:hAnsiTheme="minorEastAsia" w:eastAsiaTheme="minorEastAsia"/>
          <w:sz w:val="24"/>
          <w:szCs w:val="24"/>
          <w:lang w:eastAsia="zh-CN"/>
        </w:rPr>
        <w:t>有权暂停支付下一笔合同款项，直至</w:t>
      </w:r>
      <w:r>
        <w:rPr>
          <w:rFonts w:hint="eastAsia" w:asciiTheme="minorEastAsia" w:hAnsiTheme="minorEastAsia" w:eastAsiaTheme="minorEastAsia"/>
          <w:sz w:val="24"/>
          <w:szCs w:val="24"/>
          <w:lang w:val="en-US" w:eastAsia="zh-CN"/>
        </w:rPr>
        <w:t>乙方</w:t>
      </w:r>
      <w:r>
        <w:rPr>
          <w:rFonts w:hint="eastAsia" w:asciiTheme="minorEastAsia" w:hAnsiTheme="minorEastAsia" w:eastAsiaTheme="minorEastAsia"/>
          <w:sz w:val="24"/>
          <w:szCs w:val="24"/>
          <w:lang w:eastAsia="zh-CN"/>
        </w:rPr>
        <w:t>提交该延误的阶段性成果为止。该暂停付款行为不视为</w:t>
      </w:r>
      <w:r>
        <w:rPr>
          <w:rFonts w:hint="eastAsia" w:asciiTheme="minorEastAsia" w:hAnsiTheme="minorEastAsia" w:eastAsiaTheme="minorEastAsia"/>
          <w:sz w:val="24"/>
          <w:szCs w:val="24"/>
          <w:lang w:val="en-US" w:eastAsia="zh-CN"/>
        </w:rPr>
        <w:t>甲方</w:t>
      </w:r>
      <w:r>
        <w:rPr>
          <w:rFonts w:hint="eastAsia" w:asciiTheme="minorEastAsia" w:hAnsiTheme="minorEastAsia" w:eastAsiaTheme="minorEastAsia"/>
          <w:sz w:val="24"/>
          <w:szCs w:val="24"/>
          <w:lang w:eastAsia="zh-CN"/>
        </w:rPr>
        <w:t>违约，且</w:t>
      </w:r>
      <w:r>
        <w:rPr>
          <w:rFonts w:hint="eastAsia" w:asciiTheme="minorEastAsia" w:hAnsiTheme="minorEastAsia" w:eastAsiaTheme="minorEastAsia"/>
          <w:sz w:val="24"/>
          <w:szCs w:val="24"/>
          <w:lang w:val="en-US" w:eastAsia="zh-CN"/>
        </w:rPr>
        <w:t>乙方</w:t>
      </w:r>
      <w:r>
        <w:rPr>
          <w:rFonts w:hint="eastAsia" w:asciiTheme="minorEastAsia" w:hAnsiTheme="minorEastAsia" w:eastAsiaTheme="minorEastAsia"/>
          <w:sz w:val="24"/>
          <w:szCs w:val="24"/>
          <w:lang w:eastAsia="zh-CN"/>
        </w:rPr>
        <w:t>的合同义务不因付款暂停而免除。</w:t>
      </w:r>
    </w:p>
    <w:p w14:paraId="05458C6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乙方请款前需向甲方提供请款材料和开具合法有效等额的增值税专用发票，否则甲方有权拒绝付款。</w:t>
      </w:r>
    </w:p>
    <w:p w14:paraId="7A539DA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olor w:val="auto"/>
          <w:sz w:val="24"/>
          <w:szCs w:val="24"/>
        </w:rPr>
      </w:pPr>
      <w:r>
        <w:rPr>
          <w:rFonts w:asciiTheme="minorEastAsia" w:hAnsiTheme="minorEastAsia" w:eastAsiaTheme="minorEastAsia"/>
          <w:sz w:val="24"/>
          <w:szCs w:val="24"/>
        </w:rPr>
        <w:t>3.</w:t>
      </w:r>
      <w:r>
        <w:rPr>
          <w:rFonts w:asciiTheme="minorEastAsia" w:hAnsiTheme="minorEastAsia" w:eastAsiaTheme="minorEastAsia"/>
          <w:color w:val="auto"/>
          <w:sz w:val="24"/>
          <w:szCs w:val="24"/>
        </w:rPr>
        <w:t>履约保证金</w:t>
      </w:r>
      <w:r>
        <w:rPr>
          <w:rFonts w:hint="eastAsia" w:asciiTheme="minorEastAsia" w:hAnsiTheme="minorEastAsia" w:eastAsiaTheme="minorEastAsia"/>
          <w:color w:val="auto"/>
          <w:sz w:val="24"/>
          <w:szCs w:val="24"/>
          <w:lang w:eastAsia="zh-CN"/>
        </w:rPr>
        <w:t>：</w:t>
      </w:r>
      <w:r>
        <w:rPr>
          <w:rFonts w:hint="eastAsia" w:asciiTheme="minorEastAsia" w:hAnsiTheme="minorEastAsia" w:eastAsiaTheme="minorEastAsia"/>
          <w:color w:val="auto"/>
          <w:sz w:val="24"/>
          <w:szCs w:val="24"/>
        </w:rPr>
        <w:t>乙方应在合同签订之日起7天内，向甲方提供一份甲方可接受的银行开具的同时具备：①无条件，②见索即付，③不可撤</w:t>
      </w:r>
      <w:r>
        <w:rPr>
          <w:rFonts w:hint="eastAsia" w:asciiTheme="minorEastAsia" w:hAnsiTheme="minorEastAsia" w:eastAsiaTheme="minorEastAsia"/>
          <w:color w:val="auto"/>
          <w:sz w:val="24"/>
          <w:szCs w:val="24"/>
          <w:lang w:val="en-US" w:eastAsia="zh-CN"/>
        </w:rPr>
        <w:t>销</w:t>
      </w:r>
      <w:r>
        <w:rPr>
          <w:rFonts w:hint="eastAsia" w:asciiTheme="minorEastAsia" w:hAnsiTheme="minorEastAsia" w:eastAsiaTheme="minorEastAsia"/>
          <w:color w:val="auto"/>
          <w:sz w:val="24"/>
          <w:szCs w:val="24"/>
        </w:rPr>
        <w:t>等条件的履约保函或履约保证金，履约保函的担保金额为本合同下合同价款的10%。该保函自出具之日起生效，</w:t>
      </w:r>
      <w:r>
        <w:rPr>
          <w:rFonts w:hint="eastAsia" w:asciiTheme="minorEastAsia" w:hAnsiTheme="minorEastAsia" w:eastAsiaTheme="minorEastAsia"/>
          <w:color w:val="auto"/>
          <w:sz w:val="24"/>
          <w:szCs w:val="24"/>
          <w:lang w:val="en-US" w:eastAsia="zh-CN"/>
        </w:rPr>
        <w:t>至</w:t>
      </w:r>
      <w:r>
        <w:rPr>
          <w:rFonts w:hint="eastAsia" w:asciiTheme="minorEastAsia" w:hAnsiTheme="minorEastAsia" w:eastAsiaTheme="minorEastAsia"/>
          <w:sz w:val="24"/>
          <w:szCs w:val="24"/>
        </w:rPr>
        <w:t>甲方拿到</w:t>
      </w:r>
      <w:r>
        <w:rPr>
          <w:rFonts w:hint="eastAsia" w:asciiTheme="minorEastAsia" w:hAnsiTheme="minorEastAsia" w:eastAsiaTheme="minorEastAsia"/>
          <w:sz w:val="24"/>
          <w:szCs w:val="24"/>
          <w:lang w:val="en-US" w:eastAsia="zh-CN"/>
        </w:rPr>
        <w:t>麻涌餐厨项目预处理系统提效工程环保技术服务</w:t>
      </w:r>
      <w:r>
        <w:rPr>
          <w:rFonts w:hint="eastAsia" w:asciiTheme="minorEastAsia" w:hAnsiTheme="minorEastAsia"/>
          <w:sz w:val="24"/>
          <w:szCs w:val="24"/>
          <w:lang w:eastAsia="zh-CN"/>
        </w:rPr>
        <w:t>竣工环保验</w:t>
      </w:r>
      <w:r>
        <w:rPr>
          <w:rFonts w:hint="eastAsia" w:asciiTheme="minorEastAsia" w:hAnsiTheme="minorEastAsia" w:eastAsiaTheme="minorEastAsia"/>
          <w:sz w:val="24"/>
          <w:szCs w:val="24"/>
        </w:rPr>
        <w:t>环报告及取得相关部门备案审批</w:t>
      </w:r>
      <w:r>
        <w:rPr>
          <w:rFonts w:hint="eastAsia" w:asciiTheme="minorEastAsia" w:hAnsiTheme="minorEastAsia" w:eastAsiaTheme="minorEastAsia"/>
          <w:color w:val="auto"/>
          <w:sz w:val="24"/>
          <w:szCs w:val="24"/>
        </w:rPr>
        <w:t>之日起7天内保持有效。若甲方认为乙方出具的保函不可接受，甲方可要求乙方重新出具，乙方应于收到甲方书面通知之日起3日内按甲方的要求重新出</w:t>
      </w:r>
      <w:r>
        <w:rPr>
          <w:rFonts w:hint="eastAsia" w:asciiTheme="minorEastAsia" w:hAnsiTheme="minorEastAsia" w:eastAsiaTheme="minorEastAsia"/>
          <w:color w:val="auto"/>
          <w:sz w:val="24"/>
          <w:szCs w:val="24"/>
          <w:lang w:val="en-US" w:eastAsia="zh-CN"/>
        </w:rPr>
        <w:t>具</w:t>
      </w:r>
      <w:r>
        <w:rPr>
          <w:rFonts w:hint="eastAsia" w:asciiTheme="minorEastAsia" w:hAnsiTheme="minorEastAsia" w:eastAsiaTheme="minorEastAsia"/>
          <w:color w:val="auto"/>
          <w:sz w:val="24"/>
          <w:szCs w:val="24"/>
        </w:rPr>
        <w:t>新保函。如果</w:t>
      </w:r>
      <w:r>
        <w:rPr>
          <w:rFonts w:hint="eastAsia" w:asciiTheme="minorEastAsia" w:hAnsiTheme="minorEastAsia" w:eastAsiaTheme="minorEastAsia"/>
          <w:color w:val="auto"/>
          <w:sz w:val="24"/>
          <w:szCs w:val="24"/>
          <w:lang w:val="en-US" w:eastAsia="zh-CN"/>
        </w:rPr>
        <w:t>乙方</w:t>
      </w:r>
      <w:r>
        <w:rPr>
          <w:rFonts w:hint="eastAsia" w:asciiTheme="minorEastAsia" w:hAnsiTheme="minorEastAsia" w:eastAsiaTheme="minorEastAsia"/>
          <w:color w:val="auto"/>
          <w:sz w:val="24"/>
          <w:szCs w:val="24"/>
        </w:rPr>
        <w:t>提交的履约保函的有效期先于合同要求的履约保函有效期到达，</w:t>
      </w:r>
      <w:r>
        <w:rPr>
          <w:rFonts w:hint="eastAsia" w:asciiTheme="minorEastAsia" w:hAnsiTheme="minorEastAsia" w:eastAsiaTheme="minorEastAsia"/>
          <w:color w:val="auto"/>
          <w:sz w:val="24"/>
          <w:szCs w:val="24"/>
          <w:lang w:val="en-US" w:eastAsia="zh-CN"/>
        </w:rPr>
        <w:t>乙方</w:t>
      </w:r>
      <w:r>
        <w:rPr>
          <w:rFonts w:hint="eastAsia" w:asciiTheme="minorEastAsia" w:hAnsiTheme="minorEastAsia" w:eastAsiaTheme="minorEastAsia"/>
          <w:color w:val="auto"/>
          <w:sz w:val="24"/>
          <w:szCs w:val="24"/>
        </w:rPr>
        <w:t>应在原提交的履约保函有效期满前15天，无条件办理保函延期手续。否则，视为</w:t>
      </w:r>
      <w:r>
        <w:rPr>
          <w:rFonts w:hint="eastAsia" w:asciiTheme="minorEastAsia" w:hAnsiTheme="minorEastAsia" w:eastAsiaTheme="minorEastAsia"/>
          <w:color w:val="auto"/>
          <w:sz w:val="24"/>
          <w:szCs w:val="24"/>
          <w:lang w:val="en-US" w:eastAsia="zh-CN"/>
        </w:rPr>
        <w:t>乙方</w:t>
      </w:r>
      <w:r>
        <w:rPr>
          <w:rFonts w:hint="eastAsia" w:asciiTheme="minorEastAsia" w:hAnsiTheme="minorEastAsia" w:eastAsiaTheme="minorEastAsia"/>
          <w:color w:val="auto"/>
          <w:sz w:val="24"/>
          <w:szCs w:val="24"/>
        </w:rPr>
        <w:t>违约，</w:t>
      </w:r>
      <w:r>
        <w:rPr>
          <w:rFonts w:hint="eastAsia" w:asciiTheme="minorEastAsia" w:hAnsiTheme="minorEastAsia" w:eastAsiaTheme="minorEastAsia"/>
          <w:color w:val="auto"/>
          <w:sz w:val="24"/>
          <w:szCs w:val="24"/>
          <w:lang w:val="en-US" w:eastAsia="zh-CN"/>
        </w:rPr>
        <w:t>甲方</w:t>
      </w:r>
      <w:r>
        <w:rPr>
          <w:rFonts w:hint="eastAsia" w:asciiTheme="minorEastAsia" w:hAnsiTheme="minorEastAsia" w:eastAsiaTheme="minorEastAsia"/>
          <w:color w:val="auto"/>
          <w:sz w:val="24"/>
          <w:szCs w:val="24"/>
        </w:rPr>
        <w:t>可在保函到期前将保函金额转为现金存入履约保证金帐户。</w:t>
      </w:r>
    </w:p>
    <w:p w14:paraId="47448B6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若乙方未按期提交履约保函或提交的保函不符合甲方要求且逾期未重新提交的，甲方有权单方解除合同，并要求乙方按合同总价的10%支付违约金。</w:t>
      </w:r>
    </w:p>
    <w:p w14:paraId="285FEB2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asciiTheme="minorEastAsia" w:hAnsiTheme="minorEastAsia" w:eastAsiaTheme="minorEastAsia"/>
          <w:sz w:val="24"/>
          <w:szCs w:val="24"/>
        </w:rPr>
        <w:t>履约保证金作为乙方在履约过程中违约金或罚款的扣罚来源之一，履约保证金返还申请时间为</w:t>
      </w:r>
      <w:r>
        <w:rPr>
          <w:rFonts w:hint="eastAsia" w:asciiTheme="minorEastAsia" w:hAnsiTheme="minorEastAsia" w:eastAsiaTheme="minorEastAsia"/>
          <w:sz w:val="24"/>
          <w:szCs w:val="24"/>
        </w:rPr>
        <w:t>甲方拿到</w:t>
      </w:r>
      <w:r>
        <w:rPr>
          <w:rFonts w:hint="eastAsia" w:asciiTheme="minorEastAsia" w:hAnsiTheme="minorEastAsia" w:eastAsiaTheme="minorEastAsia"/>
          <w:sz w:val="24"/>
          <w:szCs w:val="24"/>
          <w:lang w:val="en-US" w:eastAsia="zh-CN"/>
        </w:rPr>
        <w:t>麻涌餐厨项目预处理系统提效工程环保技术服务</w:t>
      </w:r>
      <w:r>
        <w:rPr>
          <w:rFonts w:hint="eastAsia" w:asciiTheme="minorEastAsia" w:hAnsiTheme="minorEastAsia"/>
          <w:sz w:val="24"/>
          <w:szCs w:val="24"/>
          <w:lang w:eastAsia="zh-CN"/>
        </w:rPr>
        <w:t>竣工环保验</w:t>
      </w:r>
      <w:r>
        <w:rPr>
          <w:rFonts w:hint="eastAsia" w:asciiTheme="minorEastAsia" w:hAnsiTheme="minorEastAsia" w:eastAsiaTheme="minorEastAsia"/>
          <w:sz w:val="24"/>
          <w:szCs w:val="24"/>
        </w:rPr>
        <w:t>环报告及取得相关部门备案审批之日，</w:t>
      </w:r>
      <w:r>
        <w:rPr>
          <w:rFonts w:asciiTheme="minorEastAsia" w:hAnsiTheme="minorEastAsia" w:eastAsiaTheme="minorEastAsia"/>
          <w:sz w:val="24"/>
          <w:szCs w:val="24"/>
        </w:rPr>
        <w:t>乙方在没有任何违约的情况下提交退款申请，收到乙方申请后30个日历日内，甲方一次性无息退回。</w:t>
      </w:r>
      <w:r>
        <w:rPr>
          <w:rFonts w:hint="eastAsia" w:asciiTheme="minorEastAsia" w:hAnsiTheme="minorEastAsia" w:eastAsiaTheme="minorEastAsia"/>
          <w:sz w:val="24"/>
          <w:szCs w:val="24"/>
        </w:rPr>
        <w:t>若本合同因乙方责任导致合同无效、提前终止或解除，或乙方存在违约情形的，甲方均有权没收履约保证金（或向银行申请索赔，乙方不得以任何理由要求甲方退回相关款项）。</w:t>
      </w:r>
    </w:p>
    <w:p w14:paraId="1DFE301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4</w:t>
      </w:r>
      <w:r>
        <w:rPr>
          <w:rFonts w:asciiTheme="minorEastAsia" w:hAnsiTheme="minorEastAsia" w:eastAsiaTheme="minorEastAsia"/>
          <w:sz w:val="24"/>
          <w:szCs w:val="24"/>
        </w:rPr>
        <w:t>.乙方收款账户信息：</w:t>
      </w:r>
    </w:p>
    <w:p w14:paraId="52840A7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开户名称：</w:t>
      </w:r>
    </w:p>
    <w:p w14:paraId="3B6452D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地</w:t>
      </w:r>
      <w:r>
        <w:rPr>
          <w:rFonts w:asciiTheme="minorEastAsia" w:hAnsiTheme="minorEastAsia" w:eastAsiaTheme="minorEastAsia"/>
          <w:sz w:val="24"/>
          <w:szCs w:val="24"/>
        </w:rPr>
        <w:t xml:space="preserve">    址：</w:t>
      </w:r>
    </w:p>
    <w:p w14:paraId="3E9C680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账</w:t>
      </w:r>
      <w:r>
        <w:rPr>
          <w:rFonts w:asciiTheme="minorEastAsia" w:hAnsiTheme="minorEastAsia" w:eastAsiaTheme="minorEastAsia"/>
          <w:sz w:val="24"/>
          <w:szCs w:val="24"/>
        </w:rPr>
        <w:t xml:space="preserve">    号：</w:t>
      </w:r>
    </w:p>
    <w:p w14:paraId="319734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开户银行：</w:t>
      </w:r>
    </w:p>
    <w:p w14:paraId="30BDBEC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因乙方提供的收款账户信息错误或乙方擅自变更收款账户信息而未及时书面通知甲方，导致甲方付款迟延的，甲方无需承担迟延付款责任。</w:t>
      </w:r>
    </w:p>
    <w:p w14:paraId="6BBC4FF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5</w:t>
      </w:r>
      <w:r>
        <w:rPr>
          <w:rFonts w:asciiTheme="minorEastAsia" w:hAnsiTheme="minorEastAsia" w:eastAsiaTheme="minorEastAsia"/>
          <w:sz w:val="24"/>
          <w:szCs w:val="24"/>
        </w:rPr>
        <w:t>.</w:t>
      </w:r>
      <w:r>
        <w:rPr>
          <w:rFonts w:hint="eastAsia" w:asciiTheme="minorEastAsia" w:hAnsiTheme="minorEastAsia" w:eastAsiaTheme="minorEastAsia"/>
          <w:sz w:val="24"/>
          <w:szCs w:val="24"/>
        </w:rPr>
        <w:t>对本合同没有约定的项目内容，只有双方签订的补充协议才能作为最终</w:t>
      </w:r>
      <w:r>
        <w:rPr>
          <w:rFonts w:asciiTheme="minorEastAsia" w:hAnsiTheme="minorEastAsia" w:eastAsiaTheme="minorEastAsia"/>
          <w:sz w:val="24"/>
          <w:szCs w:val="24"/>
        </w:rPr>
        <w:t>款项支付</w:t>
      </w:r>
      <w:r>
        <w:rPr>
          <w:rFonts w:hint="eastAsia" w:asciiTheme="minorEastAsia" w:hAnsiTheme="minorEastAsia" w:eastAsiaTheme="minorEastAsia"/>
          <w:sz w:val="24"/>
          <w:szCs w:val="24"/>
        </w:rPr>
        <w:t>依据，除补充协议外的任何文件（如备忘录、会议纪要等）均不得作为最终款项支付的依据。</w:t>
      </w:r>
    </w:p>
    <w:p w14:paraId="71F3FDC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b/>
          <w:sz w:val="24"/>
          <w:szCs w:val="24"/>
        </w:rPr>
      </w:pPr>
      <w:r>
        <w:rPr>
          <w:rFonts w:hint="eastAsia" w:asciiTheme="minorEastAsia" w:hAnsiTheme="minorEastAsia" w:eastAsiaTheme="minorEastAsia"/>
          <w:b/>
          <w:sz w:val="24"/>
          <w:szCs w:val="24"/>
        </w:rPr>
        <w:t>第九条</w:t>
      </w:r>
      <w:r>
        <w:rPr>
          <w:rFonts w:hint="eastAsia" w:asciiTheme="minorEastAsia" w:hAnsiTheme="minorEastAsia" w:eastAsiaTheme="minorEastAsia"/>
          <w:b/>
          <w:sz w:val="24"/>
          <w:szCs w:val="24"/>
          <w:lang w:val="en-US" w:eastAsia="zh-CN"/>
        </w:rPr>
        <w:t xml:space="preserve"> </w:t>
      </w:r>
      <w:r>
        <w:rPr>
          <w:rFonts w:asciiTheme="minorEastAsia" w:hAnsiTheme="minorEastAsia" w:eastAsiaTheme="minorEastAsia"/>
          <w:b/>
          <w:sz w:val="24"/>
          <w:szCs w:val="24"/>
        </w:rPr>
        <w:t>工作成果归属：</w:t>
      </w:r>
    </w:p>
    <w:p w14:paraId="11D73F1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asciiTheme="minorEastAsia" w:hAnsiTheme="minorEastAsia" w:eastAsiaTheme="minorEastAsia"/>
          <w:sz w:val="24"/>
          <w:szCs w:val="24"/>
        </w:rPr>
        <w:t>1．甲方利用乙方提交的技术服务工作成果所</w:t>
      </w:r>
      <w:r>
        <w:rPr>
          <w:rFonts w:hint="eastAsia" w:asciiTheme="minorEastAsia" w:hAnsiTheme="minorEastAsia" w:eastAsiaTheme="minorEastAsia"/>
          <w:sz w:val="24"/>
          <w:szCs w:val="24"/>
        </w:rPr>
        <w:t>完成的新的技术成果，归</w:t>
      </w:r>
      <w:r>
        <w:rPr>
          <w:rFonts w:asciiTheme="minorEastAsia" w:hAnsiTheme="minorEastAsia" w:eastAsiaTheme="minorEastAsia"/>
          <w:sz w:val="24"/>
          <w:szCs w:val="24"/>
        </w:rPr>
        <w:t xml:space="preserve"> </w:t>
      </w:r>
      <w:bookmarkStart w:id="183" w:name="OLE_LINK1"/>
      <w:r>
        <w:rPr>
          <w:rFonts w:hint="eastAsia" w:asciiTheme="minorEastAsia" w:hAnsiTheme="minorEastAsia" w:eastAsiaTheme="minorEastAsia"/>
          <w:sz w:val="24"/>
          <w:szCs w:val="24"/>
          <w:u w:val="single"/>
        </w:rPr>
        <w:t>【 甲</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w:t>
      </w:r>
      <w:bookmarkEnd w:id="183"/>
      <w:r>
        <w:rPr>
          <w:rFonts w:asciiTheme="minorEastAsia" w:hAnsiTheme="minorEastAsia" w:eastAsiaTheme="minorEastAsia"/>
          <w:sz w:val="24"/>
          <w:szCs w:val="24"/>
        </w:rPr>
        <w:t>（甲、乙、双）方所有。</w:t>
      </w:r>
    </w:p>
    <w:p w14:paraId="74830DC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asciiTheme="minorEastAsia" w:hAnsiTheme="minorEastAsia" w:eastAsiaTheme="minorEastAsia"/>
          <w:sz w:val="24"/>
          <w:szCs w:val="24"/>
        </w:rPr>
        <w:t>2．乙方利用甲方提供的技术资料和工作条件</w:t>
      </w:r>
      <w:r>
        <w:rPr>
          <w:rFonts w:hint="eastAsia" w:asciiTheme="minorEastAsia" w:hAnsiTheme="minorEastAsia" w:eastAsiaTheme="minorEastAsia"/>
          <w:sz w:val="24"/>
          <w:szCs w:val="24"/>
        </w:rPr>
        <w:t>所完成的新的技术成果，归</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 甲</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w:t>
      </w:r>
      <w:r>
        <w:rPr>
          <w:rFonts w:asciiTheme="minorEastAsia" w:hAnsiTheme="minorEastAsia" w:eastAsiaTheme="minorEastAsia"/>
          <w:sz w:val="24"/>
          <w:szCs w:val="24"/>
        </w:rPr>
        <w:t>（</w:t>
      </w:r>
      <w:r>
        <w:rPr>
          <w:rFonts w:hint="eastAsia" w:asciiTheme="minorEastAsia" w:hAnsiTheme="minorEastAsia" w:eastAsiaTheme="minorEastAsia"/>
          <w:sz w:val="24"/>
          <w:szCs w:val="24"/>
        </w:rPr>
        <w:t>甲、</w:t>
      </w:r>
      <w:r>
        <w:rPr>
          <w:rFonts w:asciiTheme="minorEastAsia" w:hAnsiTheme="minorEastAsia" w:eastAsiaTheme="minorEastAsia"/>
          <w:sz w:val="24"/>
          <w:szCs w:val="24"/>
        </w:rPr>
        <w:t>乙、双）方所有。</w:t>
      </w:r>
    </w:p>
    <w:p w14:paraId="296B33A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lang w:val="en-US" w:eastAsia="zh-CN"/>
        </w:rPr>
      </w:pPr>
      <w:r>
        <w:rPr>
          <w:rFonts w:hint="eastAsia" w:asciiTheme="minorEastAsia" w:hAnsiTheme="minorEastAsia"/>
          <w:sz w:val="24"/>
          <w:szCs w:val="24"/>
          <w:lang w:val="en-US" w:eastAsia="zh-CN"/>
        </w:rPr>
        <w:t>3.</w:t>
      </w:r>
      <w:r>
        <w:rPr>
          <w:rFonts w:hint="eastAsia" w:asciiTheme="minorEastAsia" w:hAnsiTheme="minorEastAsia"/>
          <w:sz w:val="24"/>
        </w:rPr>
        <w:t>本合同项下全部报告、数据、技术文件及成果的知识产权（含著作权）归甲方所有；乙方仅得为履行本合同之目的使用，未经甲方书面同意，不得用于其他项目、不得对外提供或用于宣传、评优、业绩展示</w:t>
      </w:r>
      <w:r>
        <w:rPr>
          <w:rFonts w:hint="eastAsia" w:asciiTheme="minorEastAsia" w:hAnsiTheme="minorEastAsia"/>
          <w:sz w:val="24"/>
          <w:lang w:eastAsia="zh-CN"/>
        </w:rPr>
        <w:t>。</w:t>
      </w:r>
    </w:p>
    <w:p w14:paraId="2F35B33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b/>
          <w:sz w:val="24"/>
          <w:szCs w:val="24"/>
        </w:rPr>
      </w:pPr>
      <w:r>
        <w:rPr>
          <w:rFonts w:hint="eastAsia" w:asciiTheme="minorEastAsia" w:hAnsiTheme="minorEastAsia" w:eastAsiaTheme="minorEastAsia"/>
          <w:b/>
          <w:sz w:val="24"/>
          <w:szCs w:val="24"/>
        </w:rPr>
        <w:t>第十条</w:t>
      </w:r>
      <w:r>
        <w:rPr>
          <w:rFonts w:asciiTheme="minorEastAsia" w:hAnsiTheme="minorEastAsia" w:eastAsiaTheme="minorEastAsia"/>
          <w:b/>
          <w:sz w:val="24"/>
          <w:szCs w:val="24"/>
        </w:rPr>
        <w:t xml:space="preserve"> 违约责任</w:t>
      </w:r>
    </w:p>
    <w:p w14:paraId="2519FDD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违反本合同约定，违约方应当按《中华人民共和国民法典》有关规定，承担违约责任。</w:t>
      </w:r>
    </w:p>
    <w:p w14:paraId="5DB3DBA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asciiTheme="minorEastAsia" w:hAnsiTheme="minorEastAsia" w:eastAsiaTheme="minorEastAsia"/>
          <w:sz w:val="24"/>
          <w:szCs w:val="24"/>
        </w:rPr>
        <w:t>1</w:t>
      </w:r>
      <w:r>
        <w:rPr>
          <w:rFonts w:hint="eastAsia" w:asciiTheme="minorEastAsia" w:hAnsiTheme="minorEastAsia" w:eastAsiaTheme="minorEastAsia"/>
          <w:sz w:val="24"/>
          <w:szCs w:val="24"/>
        </w:rPr>
        <w:t>．甲方应按本合同规定的金额和时间向乙方支付合同价款，</w:t>
      </w:r>
      <w:r>
        <w:rPr>
          <w:rFonts w:hint="eastAsia" w:asciiTheme="minorEastAsia" w:hAnsiTheme="minorEastAsia"/>
          <w:sz w:val="24"/>
          <w:szCs w:val="24"/>
          <w:lang w:val="en-US" w:eastAsia="zh-CN"/>
        </w:rPr>
        <w:t>若甲方逾期付款</w:t>
      </w:r>
      <w:r>
        <w:rPr>
          <w:rFonts w:hint="eastAsia" w:ascii="宋体" w:hAnsi="宋体"/>
          <w:color w:val="auto"/>
          <w:sz w:val="24"/>
          <w:szCs w:val="24"/>
          <w:highlight w:val="none"/>
          <w:lang w:val="en-US" w:eastAsia="zh-CN"/>
        </w:rPr>
        <w:t>且经乙方书面催告后仍未支付，</w:t>
      </w:r>
      <w:r>
        <w:rPr>
          <w:rFonts w:hint="eastAsia" w:asciiTheme="minorEastAsia" w:hAnsiTheme="minorEastAsia" w:eastAsiaTheme="minorEastAsia"/>
          <w:sz w:val="24"/>
          <w:szCs w:val="24"/>
        </w:rPr>
        <w:t>每逾期一天，应承担应付未付金额</w:t>
      </w:r>
      <w:r>
        <w:rPr>
          <w:rFonts w:asciiTheme="minorEastAsia" w:hAnsiTheme="minorEastAsia" w:eastAsiaTheme="minorEastAsia"/>
          <w:sz w:val="24"/>
          <w:szCs w:val="24"/>
          <w:u w:val="single"/>
        </w:rPr>
        <w:t xml:space="preserve">  1  </w:t>
      </w:r>
      <w:r>
        <w:rPr>
          <w:rFonts w:hint="eastAsia" w:asciiTheme="minorEastAsia" w:hAnsiTheme="minorEastAsia" w:eastAsiaTheme="minorEastAsia"/>
          <w:sz w:val="24"/>
          <w:szCs w:val="24"/>
          <w:u w:val="single"/>
        </w:rPr>
        <w:t>‰</w:t>
      </w:r>
      <w:r>
        <w:rPr>
          <w:rFonts w:hint="eastAsia" w:asciiTheme="minorEastAsia" w:hAnsiTheme="minorEastAsia" w:eastAsiaTheme="minorEastAsia"/>
          <w:sz w:val="24"/>
          <w:szCs w:val="24"/>
        </w:rPr>
        <w:t>的逾期违约金，违约金总额最高不超过本合同总额的10</w:t>
      </w:r>
      <w:r>
        <w:rPr>
          <w:rFonts w:hint="eastAsia" w:asciiTheme="minorEastAsia" w:hAnsiTheme="minorEastAsia" w:eastAsiaTheme="minorEastAsia"/>
          <w:sz w:val="24"/>
          <w:szCs w:val="24"/>
          <w:u w:val="none"/>
          <w:lang w:val="en-US" w:eastAsia="zh-CN"/>
        </w:rPr>
        <w:t>％</w:t>
      </w:r>
      <w:r>
        <w:rPr>
          <w:rFonts w:hint="eastAsia" w:asciiTheme="minorEastAsia" w:hAnsiTheme="minorEastAsia" w:eastAsiaTheme="minorEastAsia"/>
          <w:sz w:val="24"/>
          <w:szCs w:val="24"/>
        </w:rPr>
        <w:t>。</w:t>
      </w:r>
    </w:p>
    <w:p w14:paraId="47B91F7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asciiTheme="minorEastAsia" w:hAnsiTheme="minorEastAsia" w:eastAsiaTheme="minorEastAsia"/>
          <w:sz w:val="24"/>
          <w:szCs w:val="24"/>
        </w:rPr>
        <w:t>2</w:t>
      </w:r>
      <w:r>
        <w:rPr>
          <w:rFonts w:hint="eastAsia" w:asciiTheme="minorEastAsia" w:hAnsiTheme="minorEastAsia" w:eastAsiaTheme="minorEastAsia"/>
          <w:sz w:val="24"/>
          <w:szCs w:val="24"/>
        </w:rPr>
        <w:t>．乙方必须按</w:t>
      </w:r>
      <w:r>
        <w:rPr>
          <w:rFonts w:hint="eastAsia" w:asciiTheme="minorEastAsia" w:hAnsiTheme="minorEastAsia" w:eastAsiaTheme="minorEastAsia"/>
          <w:sz w:val="24"/>
          <w:szCs w:val="24"/>
          <w:lang w:val="en-US" w:eastAsia="zh-CN"/>
        </w:rPr>
        <w:t>本合同约定服务期（工期）及交付成果要求</w:t>
      </w:r>
      <w:r>
        <w:rPr>
          <w:rFonts w:hint="eastAsia" w:asciiTheme="minorEastAsia" w:hAnsiTheme="minorEastAsia" w:eastAsiaTheme="minorEastAsia"/>
          <w:sz w:val="24"/>
          <w:szCs w:val="24"/>
        </w:rPr>
        <w:t>完成各项任务，如果因乙方原因造成工期延误</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逾期十五日内，每逾期一日，应按合同总额的</w:t>
      </w:r>
      <w:r>
        <w:rPr>
          <w:rFonts w:asciiTheme="minorEastAsia" w:hAnsiTheme="minorEastAsia" w:eastAsiaTheme="minorEastAsia"/>
          <w:sz w:val="24"/>
          <w:szCs w:val="24"/>
          <w:u w:val="single"/>
        </w:rPr>
        <w:t xml:space="preserve">  1  </w:t>
      </w:r>
      <w:r>
        <w:rPr>
          <w:rFonts w:hint="eastAsia" w:asciiTheme="minorEastAsia" w:hAnsiTheme="minorEastAsia" w:eastAsiaTheme="minorEastAsia"/>
          <w:sz w:val="24"/>
          <w:szCs w:val="24"/>
          <w:u w:val="single"/>
        </w:rPr>
        <w:t>‰</w:t>
      </w:r>
      <w:r>
        <w:rPr>
          <w:rFonts w:hint="eastAsia" w:asciiTheme="minorEastAsia" w:hAnsiTheme="minorEastAsia" w:eastAsiaTheme="minorEastAsia"/>
          <w:sz w:val="24"/>
          <w:szCs w:val="24"/>
        </w:rPr>
        <w:t>向甲方支付违约金及赔偿甲方损失；逾期超过十五日甲方有权单方解除本合同</w:t>
      </w:r>
      <w:r>
        <w:rPr>
          <w:rFonts w:hint="eastAsia" w:asciiTheme="minorEastAsia" w:hAnsiTheme="minorEastAsia" w:eastAsiaTheme="minorEastAsia"/>
          <w:sz w:val="24"/>
          <w:szCs w:val="24"/>
          <w:lang w:val="en-US" w:eastAsia="zh-CN"/>
        </w:rPr>
        <w:t>，</w:t>
      </w:r>
      <w:r>
        <w:rPr>
          <w:rFonts w:hint="eastAsia" w:asciiTheme="minorEastAsia" w:hAnsiTheme="minorEastAsia" w:eastAsiaTheme="minorEastAsia"/>
          <w:sz w:val="24"/>
          <w:szCs w:val="24"/>
        </w:rPr>
        <w:t>乙方除支付逾期违约金外，还应按合同总价款的</w:t>
      </w:r>
      <w:r>
        <w:rPr>
          <w:rFonts w:hint="eastAsia" w:asciiTheme="minorEastAsia" w:hAnsiTheme="minorEastAsia" w:eastAsiaTheme="minorEastAsia"/>
          <w:sz w:val="24"/>
          <w:szCs w:val="24"/>
          <w:u w:val="single"/>
        </w:rPr>
        <w:t xml:space="preserve"> </w:t>
      </w:r>
      <w:r>
        <w:rPr>
          <w:rFonts w:asciiTheme="minorEastAsia" w:hAnsiTheme="minorEastAsia" w:eastAsiaTheme="minorEastAsia"/>
          <w:sz w:val="24"/>
          <w:szCs w:val="24"/>
          <w:u w:val="single"/>
        </w:rPr>
        <w:t xml:space="preserve">30 </w:t>
      </w:r>
      <w:r>
        <w:rPr>
          <w:rFonts w:hint="eastAsia" w:asciiTheme="minorEastAsia" w:hAnsiTheme="minorEastAsia" w:eastAsiaTheme="minorEastAsia"/>
          <w:sz w:val="24"/>
          <w:szCs w:val="24"/>
          <w:u w:val="none"/>
          <w:lang w:val="en-US" w:eastAsia="zh-CN"/>
        </w:rPr>
        <w:t>％</w:t>
      </w:r>
      <w:r>
        <w:rPr>
          <w:rFonts w:hint="eastAsia" w:asciiTheme="minorEastAsia" w:hAnsiTheme="minorEastAsia" w:eastAsiaTheme="minorEastAsia"/>
          <w:sz w:val="24"/>
          <w:szCs w:val="24"/>
        </w:rPr>
        <w:t>向甲方支付违约金，并赔偿甲方损失。如果因甲方原因造成工期延误，工期顺延，甲方无需承担其他责任。</w:t>
      </w:r>
    </w:p>
    <w:p w14:paraId="1CCF274F">
      <w:pPr>
        <w:snapToGrid/>
        <w:spacing w:line="360" w:lineRule="auto"/>
        <w:ind w:firstLine="480" w:firstLineChars="200"/>
        <w:rPr>
          <w:rFonts w:hint="eastAsia" w:asciiTheme="minorEastAsia" w:hAnsiTheme="minorEastAsia" w:eastAsiaTheme="minorEastAsia"/>
          <w:sz w:val="24"/>
          <w:szCs w:val="24"/>
          <w:u w:val="none"/>
        </w:rPr>
      </w:pPr>
      <w:r>
        <w:rPr>
          <w:rFonts w:asciiTheme="minorEastAsia" w:hAnsiTheme="minorEastAsia" w:eastAsiaTheme="minorEastAsia"/>
          <w:sz w:val="24"/>
          <w:szCs w:val="24"/>
        </w:rPr>
        <w:t>3.</w:t>
      </w:r>
      <w:r>
        <w:rPr>
          <w:rFonts w:ascii="宋体" w:hAnsi="宋体"/>
          <w:sz w:val="24"/>
          <w:szCs w:val="24"/>
        </w:rPr>
        <w:t>乙方</w:t>
      </w:r>
      <w:r>
        <w:rPr>
          <w:rFonts w:hint="eastAsia" w:ascii="宋体" w:hAnsi="宋体"/>
          <w:sz w:val="24"/>
          <w:szCs w:val="24"/>
          <w:lang w:val="en-US" w:eastAsia="zh-CN"/>
        </w:rPr>
        <w:t>根据本合同约定出具的各项报告不符合合同约定或未通过专家评审</w:t>
      </w:r>
      <w:r>
        <w:rPr>
          <w:rFonts w:hint="eastAsia" w:asciiTheme="minorEastAsia" w:hAnsiTheme="minorEastAsia"/>
          <w:sz w:val="24"/>
          <w:szCs w:val="24"/>
          <w:u w:val="none"/>
          <w:lang w:eastAsia="zh-CN"/>
        </w:rPr>
        <w:t>、</w:t>
      </w:r>
      <w:r>
        <w:rPr>
          <w:rFonts w:hint="eastAsia" w:asciiTheme="minorEastAsia" w:hAnsiTheme="minorEastAsia"/>
          <w:sz w:val="24"/>
          <w:szCs w:val="24"/>
          <w:u w:val="none"/>
          <w:lang w:val="en-US" w:eastAsia="zh-CN"/>
        </w:rPr>
        <w:t>乙方未按合同约定</w:t>
      </w:r>
      <w:r>
        <w:rPr>
          <w:rFonts w:hint="eastAsia" w:asciiTheme="minorEastAsia" w:hAnsiTheme="minorEastAsia"/>
          <w:sz w:val="24"/>
          <w:u w:val="none"/>
        </w:rPr>
        <w:t>完成项目环保竣工验收公开、登记相关信息并建立档案</w:t>
      </w:r>
      <w:r>
        <w:rPr>
          <w:rFonts w:hint="eastAsia" w:asciiTheme="minorEastAsia" w:hAnsiTheme="minorEastAsia"/>
          <w:sz w:val="24"/>
          <w:szCs w:val="24"/>
          <w:u w:val="none"/>
          <w:lang w:val="en-US" w:eastAsia="zh-CN"/>
        </w:rPr>
        <w:t>等相关工作或有其他违反本合同约定的行为的，</w:t>
      </w:r>
      <w:r>
        <w:rPr>
          <w:rFonts w:asciiTheme="minorEastAsia" w:hAnsiTheme="minorEastAsia" w:eastAsiaTheme="minorEastAsia"/>
          <w:sz w:val="24"/>
          <w:szCs w:val="24"/>
        </w:rPr>
        <w:t>应按甲方要求复测、重测并重新出具</w:t>
      </w:r>
      <w:r>
        <w:rPr>
          <w:rFonts w:hint="eastAsia"/>
          <w:sz w:val="24"/>
          <w:szCs w:val="24"/>
          <w:lang w:val="en-US" w:eastAsia="zh-CN"/>
        </w:rPr>
        <w:t>报告或进行其他整改</w:t>
      </w:r>
      <w:r>
        <w:rPr>
          <w:rFonts w:asciiTheme="minorEastAsia" w:hAnsiTheme="minorEastAsia" w:eastAsiaTheme="minorEastAsia"/>
          <w:sz w:val="24"/>
          <w:szCs w:val="24"/>
        </w:rPr>
        <w:t>，</w:t>
      </w:r>
      <w:r>
        <w:rPr>
          <w:rFonts w:hint="eastAsia" w:asciiTheme="minorEastAsia" w:hAnsiTheme="minorEastAsia" w:eastAsiaTheme="minorEastAsia"/>
          <w:sz w:val="24"/>
          <w:szCs w:val="24"/>
        </w:rPr>
        <w:t>经整改后</w:t>
      </w:r>
      <w:r>
        <w:rPr>
          <w:rFonts w:hint="eastAsia" w:asciiTheme="minorEastAsia" w:hAnsiTheme="minorEastAsia"/>
          <w:sz w:val="24"/>
          <w:szCs w:val="24"/>
          <w:u w:val="none"/>
          <w:lang w:val="en-US" w:eastAsia="zh-CN"/>
        </w:rPr>
        <w:t>仍存在前述违约情形的</w:t>
      </w:r>
      <w:r>
        <w:rPr>
          <w:rFonts w:hint="eastAsia" w:asciiTheme="minorEastAsia" w:hAnsiTheme="minorEastAsia" w:eastAsiaTheme="minorEastAsia"/>
          <w:sz w:val="24"/>
          <w:szCs w:val="24"/>
          <w:u w:val="none"/>
        </w:rPr>
        <w:t>，甲方有权解除合同，乙方应向甲方退回全部款项，且乙方应按合同总价款</w:t>
      </w:r>
      <w:r>
        <w:rPr>
          <w:rFonts w:hint="eastAsia" w:asciiTheme="minorEastAsia" w:hAnsiTheme="minorEastAsia" w:eastAsiaTheme="minorEastAsia"/>
          <w:sz w:val="24"/>
          <w:szCs w:val="24"/>
          <w:u w:val="none"/>
          <w:lang w:val="en-US" w:eastAsia="zh-CN"/>
        </w:rPr>
        <w:t>的</w:t>
      </w:r>
      <w:r>
        <w:rPr>
          <w:rFonts w:hint="eastAsia" w:asciiTheme="minorEastAsia" w:hAnsiTheme="minorEastAsia" w:eastAsiaTheme="minorEastAsia"/>
          <w:sz w:val="24"/>
          <w:szCs w:val="24"/>
          <w:u w:val="none"/>
        </w:rPr>
        <w:t>30</w:t>
      </w:r>
      <w:r>
        <w:rPr>
          <w:rFonts w:hint="eastAsia" w:asciiTheme="minorEastAsia" w:hAnsiTheme="minorEastAsia" w:eastAsiaTheme="minorEastAsia"/>
          <w:sz w:val="24"/>
          <w:szCs w:val="24"/>
          <w:u w:val="none"/>
          <w:lang w:val="en-US" w:eastAsia="zh-CN"/>
        </w:rPr>
        <w:t>％</w:t>
      </w:r>
      <w:r>
        <w:rPr>
          <w:rFonts w:hint="eastAsia" w:asciiTheme="minorEastAsia" w:hAnsiTheme="minorEastAsia" w:eastAsiaTheme="minorEastAsia"/>
          <w:sz w:val="24"/>
          <w:szCs w:val="24"/>
          <w:u w:val="none"/>
        </w:rPr>
        <w:t>向甲方支付违约金及赔偿甲方损失。</w:t>
      </w:r>
    </w:p>
    <w:p w14:paraId="00C3299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rPr>
      </w:pPr>
      <w:r>
        <w:rPr>
          <w:rFonts w:hint="eastAsia" w:asciiTheme="minorEastAsia" w:hAnsiTheme="minorEastAsia" w:eastAsiaTheme="minorEastAsia"/>
          <w:sz w:val="24"/>
          <w:szCs w:val="24"/>
          <w:u w:val="none"/>
        </w:rPr>
        <w:t>4．因乙方导致</w:t>
      </w:r>
      <w:r>
        <w:rPr>
          <w:rFonts w:hint="eastAsia" w:asciiTheme="minorEastAsia" w:hAnsiTheme="minorEastAsia"/>
          <w:sz w:val="24"/>
          <w:szCs w:val="24"/>
          <w:u w:val="none"/>
          <w:lang w:val="en-US" w:eastAsia="zh-CN"/>
        </w:rPr>
        <w:t>报告无法通过审核</w:t>
      </w:r>
      <w:r>
        <w:rPr>
          <w:rFonts w:hint="eastAsia" w:asciiTheme="minorEastAsia" w:hAnsiTheme="minorEastAsia" w:eastAsiaTheme="minorEastAsia"/>
          <w:sz w:val="24"/>
          <w:szCs w:val="24"/>
          <w:u w:val="none"/>
        </w:rPr>
        <w:t>或</w:t>
      </w:r>
      <w:r>
        <w:rPr>
          <w:rFonts w:hint="eastAsia" w:asciiTheme="minorEastAsia" w:hAnsiTheme="minorEastAsia"/>
          <w:sz w:val="24"/>
          <w:szCs w:val="24"/>
          <w:u w:val="none"/>
          <w:lang w:val="en-US" w:eastAsia="zh-CN"/>
        </w:rPr>
        <w:t>甲方项目无法完成环保竣工验收的</w:t>
      </w:r>
      <w:r>
        <w:rPr>
          <w:rFonts w:hint="eastAsia" w:asciiTheme="minorEastAsia" w:hAnsiTheme="minorEastAsia" w:eastAsiaTheme="minorEastAsia"/>
          <w:sz w:val="24"/>
          <w:szCs w:val="24"/>
          <w:u w:val="none"/>
        </w:rPr>
        <w:t>，</w:t>
      </w:r>
      <w:r>
        <w:rPr>
          <w:rFonts w:hint="eastAsia" w:asciiTheme="minorEastAsia" w:hAnsiTheme="minorEastAsia" w:eastAsiaTheme="minorEastAsia"/>
          <w:sz w:val="24"/>
          <w:szCs w:val="24"/>
        </w:rPr>
        <w:t>甲方有权</w:t>
      </w:r>
      <w:r>
        <w:rPr>
          <w:rFonts w:hint="eastAsia" w:asciiTheme="minorEastAsia" w:hAnsiTheme="minorEastAsia"/>
          <w:sz w:val="24"/>
          <w:szCs w:val="24"/>
          <w:lang w:val="en-US" w:eastAsia="zh-CN"/>
        </w:rPr>
        <w:t>拒绝支付服务费用</w:t>
      </w:r>
      <w:r>
        <w:rPr>
          <w:rFonts w:hint="eastAsia" w:asciiTheme="minorEastAsia" w:hAnsiTheme="minorEastAsia"/>
          <w:sz w:val="24"/>
          <w:szCs w:val="24"/>
          <w:lang w:eastAsia="zh-CN"/>
        </w:rPr>
        <w:t>、</w:t>
      </w:r>
      <w:r>
        <w:rPr>
          <w:rFonts w:hint="eastAsia" w:asciiTheme="minorEastAsia" w:hAnsiTheme="minorEastAsia"/>
          <w:sz w:val="24"/>
          <w:szCs w:val="24"/>
          <w:lang w:val="en-US" w:eastAsia="zh-CN"/>
        </w:rPr>
        <w:t>甲方已支付预付款项有权要求乙方全额退还，</w:t>
      </w:r>
      <w:r>
        <w:rPr>
          <w:rFonts w:hint="eastAsia" w:asciiTheme="minorEastAsia" w:hAnsiTheme="minorEastAsia" w:eastAsiaTheme="minorEastAsia"/>
          <w:sz w:val="24"/>
          <w:szCs w:val="24"/>
        </w:rPr>
        <w:t>并没收乙方履约保证金，因此造成的损失有权向乙方索赔。</w:t>
      </w:r>
    </w:p>
    <w:p w14:paraId="01A049A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sz w:val="24"/>
        </w:rPr>
      </w:pPr>
      <w:r>
        <w:rPr>
          <w:rFonts w:hint="eastAsia" w:asciiTheme="minorEastAsia" w:hAnsiTheme="minorEastAsia"/>
          <w:sz w:val="24"/>
          <w:szCs w:val="24"/>
          <w:lang w:val="en-US" w:eastAsia="zh-CN"/>
        </w:rPr>
        <w:t>5、</w:t>
      </w:r>
      <w:r>
        <w:rPr>
          <w:rFonts w:hint="eastAsia" w:asciiTheme="minorEastAsia" w:hAnsiTheme="minorEastAsia"/>
          <w:sz w:val="24"/>
        </w:rPr>
        <w:t>甲方因乙方违约而主张权利产生的包括但不限于律师费、诉讼费、仲裁费、保全费、担保费、保险费、差旅费等一切费用均由乙方承担。</w:t>
      </w:r>
    </w:p>
    <w:p w14:paraId="57B0EA5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sz w:val="24"/>
        </w:rPr>
      </w:pPr>
      <w:r>
        <w:rPr>
          <w:rFonts w:hint="eastAsia" w:asciiTheme="minorEastAsia" w:hAnsiTheme="minorEastAsia"/>
          <w:sz w:val="24"/>
          <w:lang w:val="en-US" w:eastAsia="zh-CN"/>
        </w:rPr>
        <w:t>6、</w:t>
      </w:r>
      <w:r>
        <w:rPr>
          <w:rFonts w:hint="eastAsia" w:asciiTheme="minorEastAsia" w:hAnsiTheme="minorEastAsia"/>
          <w:sz w:val="24"/>
        </w:rPr>
        <w:t>乙方已按时提交合格成果</w:t>
      </w:r>
      <w:r>
        <w:rPr>
          <w:rFonts w:hint="eastAsia" w:asciiTheme="minorEastAsia" w:hAnsiTheme="minorEastAsia"/>
          <w:sz w:val="24"/>
          <w:lang w:eastAsia="zh-CN"/>
        </w:rPr>
        <w:t>，</w:t>
      </w:r>
      <w:r>
        <w:rPr>
          <w:rFonts w:hint="eastAsia" w:asciiTheme="minorEastAsia" w:hAnsiTheme="minorEastAsia"/>
          <w:sz w:val="24"/>
          <w:lang w:val="en-US" w:eastAsia="zh-CN"/>
        </w:rPr>
        <w:t>因不可抗力</w:t>
      </w:r>
      <w:r>
        <w:rPr>
          <w:rFonts w:hint="eastAsia" w:asciiTheme="minorEastAsia" w:hAnsiTheme="minorEastAsia"/>
          <w:sz w:val="24"/>
        </w:rPr>
        <w:t>延误</w:t>
      </w:r>
      <w:r>
        <w:rPr>
          <w:rFonts w:hint="eastAsia" w:asciiTheme="minorEastAsia" w:hAnsiTheme="minorEastAsia"/>
          <w:sz w:val="24"/>
          <w:lang w:val="en-US" w:eastAsia="zh-CN"/>
        </w:rPr>
        <w:t>或</w:t>
      </w:r>
      <w:r>
        <w:rPr>
          <w:rFonts w:hint="eastAsia" w:asciiTheme="minorEastAsia" w:hAnsiTheme="minorEastAsia"/>
          <w:sz w:val="24"/>
        </w:rPr>
        <w:t>因主管部门审查排期、公示程序等不可归责于乙方的情形</w:t>
      </w:r>
      <w:r>
        <w:rPr>
          <w:rFonts w:hint="eastAsia" w:asciiTheme="minorEastAsia" w:hAnsiTheme="minorEastAsia"/>
          <w:sz w:val="24"/>
          <w:lang w:val="en-US" w:eastAsia="zh-CN"/>
        </w:rPr>
        <w:t>延误的，乙方应</w:t>
      </w:r>
      <w:r>
        <w:rPr>
          <w:rFonts w:hint="eastAsia" w:asciiTheme="minorEastAsia" w:hAnsiTheme="minorEastAsia"/>
          <w:sz w:val="24"/>
        </w:rPr>
        <w:t>在事由发生后5个工作日内</w:t>
      </w:r>
      <w:r>
        <w:rPr>
          <w:rFonts w:hint="eastAsia" w:asciiTheme="minorEastAsia" w:hAnsiTheme="minorEastAsia"/>
          <w:sz w:val="24"/>
          <w:lang w:val="en-US" w:eastAsia="zh-CN"/>
        </w:rPr>
        <w:t>书面通知甲方并提供证明，经甲方书面确认后，相应工期可予以顺延，且不视为乙方违约。</w:t>
      </w:r>
      <w:r>
        <w:rPr>
          <w:rFonts w:hint="eastAsia" w:asciiTheme="minorEastAsia" w:hAnsiTheme="minorEastAsia"/>
          <w:sz w:val="24"/>
        </w:rPr>
        <w:t>因报告质量问题、需补正修改导致的延误不予顺延。</w:t>
      </w:r>
    </w:p>
    <w:p w14:paraId="0B2A362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b/>
          <w:sz w:val="24"/>
          <w:szCs w:val="24"/>
        </w:rPr>
      </w:pPr>
      <w:r>
        <w:rPr>
          <w:rFonts w:hint="eastAsia" w:asciiTheme="minorEastAsia" w:hAnsiTheme="minorEastAsia" w:eastAsiaTheme="minorEastAsia"/>
          <w:b/>
          <w:sz w:val="24"/>
          <w:szCs w:val="24"/>
        </w:rPr>
        <w:t>第十一条 争端的解决</w:t>
      </w:r>
    </w:p>
    <w:p w14:paraId="4887FAC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合同执行过程中发生的任何争议，如双方不能通过友好协商解决，提交甲方所在地法院诉讼解决。</w:t>
      </w:r>
    </w:p>
    <w:p w14:paraId="63388E6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b/>
          <w:sz w:val="24"/>
          <w:szCs w:val="24"/>
        </w:rPr>
      </w:pPr>
      <w:r>
        <w:rPr>
          <w:rFonts w:hint="eastAsia" w:asciiTheme="minorEastAsia" w:hAnsiTheme="minorEastAsia" w:eastAsiaTheme="minorEastAsia"/>
          <w:b/>
          <w:sz w:val="24"/>
          <w:szCs w:val="24"/>
          <w:lang w:val="en-US" w:eastAsia="zh-CN"/>
        </w:rPr>
        <w:t>第</w:t>
      </w:r>
      <w:r>
        <w:rPr>
          <w:rFonts w:hint="eastAsia" w:asciiTheme="minorEastAsia" w:hAnsiTheme="minorEastAsia" w:eastAsiaTheme="minorEastAsia"/>
          <w:b/>
          <w:sz w:val="24"/>
          <w:szCs w:val="24"/>
        </w:rPr>
        <w:t>十二条 不可抗力</w:t>
      </w:r>
    </w:p>
    <w:p w14:paraId="2B25917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任何一方由于不可抗力原因不能履行合同时，应在不可抗力事件结束后</w:t>
      </w:r>
      <w:r>
        <w:rPr>
          <w:rFonts w:asciiTheme="minorEastAsia" w:hAnsiTheme="minorEastAsia" w:eastAsiaTheme="minorEastAsia"/>
          <w:sz w:val="24"/>
          <w:szCs w:val="24"/>
        </w:rPr>
        <w:t>1个日历日内向对方通报，以减轻可能给对方造成的损失，在取得有关机构的不可抗力证明或双方谅解确认后，允许延期履行或修订合同，并根据情况可部分或全部免于承担违约责任。</w:t>
      </w:r>
    </w:p>
    <w:p w14:paraId="3A6724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sz w:val="24"/>
          <w:szCs w:val="24"/>
        </w:rPr>
      </w:pPr>
      <w:r>
        <w:rPr>
          <w:rFonts w:hint="eastAsia" w:asciiTheme="minorEastAsia" w:hAnsiTheme="minorEastAsia" w:eastAsiaTheme="minorEastAsia"/>
          <w:b/>
          <w:sz w:val="24"/>
          <w:szCs w:val="24"/>
          <w:lang w:val="en-US" w:eastAsia="zh-CN"/>
        </w:rPr>
        <w:t>第</w:t>
      </w:r>
      <w:r>
        <w:rPr>
          <w:rFonts w:hint="eastAsia" w:asciiTheme="minorEastAsia" w:hAnsiTheme="minorEastAsia" w:eastAsiaTheme="minorEastAsia"/>
          <w:b/>
          <w:sz w:val="24"/>
          <w:szCs w:val="24"/>
        </w:rPr>
        <w:t xml:space="preserve">十三条 </w:t>
      </w:r>
      <w:r>
        <w:rPr>
          <w:rFonts w:asciiTheme="minorEastAsia" w:hAnsiTheme="minorEastAsia" w:eastAsiaTheme="minorEastAsia"/>
          <w:b/>
          <w:sz w:val="24"/>
          <w:szCs w:val="24"/>
        </w:rPr>
        <w:t>合同终止与事后义务</w:t>
      </w:r>
    </w:p>
    <w:p w14:paraId="255E1B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asciiTheme="minorEastAsia" w:hAnsiTheme="minorEastAsia" w:eastAsiaTheme="minorEastAsia"/>
          <w:sz w:val="24"/>
          <w:szCs w:val="24"/>
        </w:rPr>
        <w:t>当</w:t>
      </w:r>
      <w:r>
        <w:rPr>
          <w:rFonts w:hint="eastAsia" w:asciiTheme="minorEastAsia" w:hAnsiTheme="minorEastAsia" w:eastAsiaTheme="minorEastAsia"/>
          <w:sz w:val="24"/>
          <w:szCs w:val="24"/>
        </w:rPr>
        <w:t>甲、</w:t>
      </w:r>
      <w:r>
        <w:rPr>
          <w:rFonts w:asciiTheme="minorEastAsia" w:hAnsiTheme="minorEastAsia" w:eastAsiaTheme="minorEastAsia"/>
          <w:sz w:val="24"/>
          <w:szCs w:val="24"/>
        </w:rPr>
        <w:t>乙</w:t>
      </w:r>
      <w:r>
        <w:rPr>
          <w:rFonts w:hint="eastAsia" w:asciiTheme="minorEastAsia" w:hAnsiTheme="minorEastAsia" w:eastAsiaTheme="minorEastAsia"/>
          <w:sz w:val="24"/>
          <w:szCs w:val="24"/>
        </w:rPr>
        <w:t>双</w:t>
      </w:r>
      <w:r>
        <w:rPr>
          <w:rFonts w:asciiTheme="minorEastAsia" w:hAnsiTheme="minorEastAsia" w:eastAsiaTheme="minorEastAsia"/>
          <w:sz w:val="24"/>
          <w:szCs w:val="24"/>
        </w:rPr>
        <w:t>方</w:t>
      </w:r>
      <w:r>
        <w:rPr>
          <w:rFonts w:hint="eastAsia" w:asciiTheme="minorEastAsia" w:hAnsiTheme="minorEastAsia" w:eastAsiaTheme="minorEastAsia"/>
          <w:sz w:val="24"/>
          <w:szCs w:val="24"/>
        </w:rPr>
        <w:t>完成本项目所有权利义务后</w:t>
      </w:r>
      <w:r>
        <w:rPr>
          <w:rFonts w:asciiTheme="minorEastAsia" w:hAnsiTheme="minorEastAsia" w:eastAsiaTheme="minorEastAsia"/>
          <w:sz w:val="24"/>
          <w:szCs w:val="24"/>
        </w:rPr>
        <w:t>，本合同自行终止。事后双方应保持良好沟通、主动配合行政主管部门的监督检查和回头看工作。</w:t>
      </w:r>
    </w:p>
    <w:p w14:paraId="49881F8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b/>
          <w:sz w:val="24"/>
          <w:szCs w:val="24"/>
        </w:rPr>
      </w:pPr>
      <w:r>
        <w:rPr>
          <w:rFonts w:hint="eastAsia" w:asciiTheme="minorEastAsia" w:hAnsiTheme="minorEastAsia" w:eastAsiaTheme="minorEastAsia"/>
          <w:b/>
          <w:sz w:val="24"/>
          <w:szCs w:val="24"/>
        </w:rPr>
        <w:t xml:space="preserve">第十四条 </w:t>
      </w:r>
      <w:r>
        <w:rPr>
          <w:rFonts w:asciiTheme="minorEastAsia" w:hAnsiTheme="minorEastAsia" w:eastAsiaTheme="minorEastAsia"/>
          <w:b/>
          <w:sz w:val="24"/>
          <w:szCs w:val="24"/>
        </w:rPr>
        <w:t>其它</w:t>
      </w:r>
    </w:p>
    <w:p w14:paraId="42FA139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asciiTheme="minorEastAsia" w:hAnsiTheme="minorEastAsia" w:eastAsiaTheme="minorEastAsia"/>
          <w:sz w:val="24"/>
          <w:szCs w:val="24"/>
        </w:rPr>
        <w:t>1.本合同所有附件、采购文件、报价文件、结果确认函均为本合同的有效组成部分，与本合同具有同等法律效力。</w:t>
      </w:r>
    </w:p>
    <w:p w14:paraId="0F004DD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asciiTheme="minorEastAsia" w:hAnsiTheme="minorEastAsia" w:eastAsiaTheme="minorEastAsia"/>
          <w:sz w:val="24"/>
          <w:szCs w:val="24"/>
        </w:rPr>
        <w:t>2.在执行本合同的过程中，所有经双方签署确认的文件（包括会议纪要、补充协议、往来信函）即成为本合同的有效组成部分</w:t>
      </w:r>
      <w:r>
        <w:rPr>
          <w:rFonts w:hint="eastAsia" w:asciiTheme="minorEastAsia" w:hAnsiTheme="minorEastAsia"/>
          <w:sz w:val="24"/>
          <w:szCs w:val="24"/>
          <w:lang w:eastAsia="zh-CN"/>
        </w:rPr>
        <w:t>，</w:t>
      </w:r>
      <w:r>
        <w:rPr>
          <w:rFonts w:hint="eastAsia" w:asciiTheme="minorEastAsia" w:hAnsiTheme="minorEastAsia"/>
          <w:sz w:val="24"/>
        </w:rPr>
        <w:t>但涉及合同价款调整、付款的，必须以双方盖章的补充协议为准</w:t>
      </w:r>
      <w:r>
        <w:rPr>
          <w:rFonts w:asciiTheme="minorEastAsia" w:hAnsiTheme="minorEastAsia" w:eastAsiaTheme="minorEastAsia"/>
          <w:sz w:val="24"/>
          <w:szCs w:val="24"/>
        </w:rPr>
        <w:t>。</w:t>
      </w:r>
    </w:p>
    <w:p w14:paraId="786FE645">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asciiTheme="minorEastAsia" w:hAnsiTheme="minorEastAsia" w:eastAsiaTheme="minorEastAsia"/>
          <w:sz w:val="24"/>
          <w:szCs w:val="24"/>
        </w:rPr>
        <w:t>3.</w:t>
      </w:r>
      <w:r>
        <w:rPr>
          <w:rFonts w:hint="eastAsia" w:ascii="宋体" w:hAnsi="宋体" w:eastAsia="宋体" w:cs="Times New Roman"/>
          <w:color w:val="auto"/>
          <w:sz w:val="24"/>
          <w:szCs w:val="24"/>
          <w:highlight w:val="none"/>
        </w:rPr>
        <w:t>双方在本合同首部上所填写的地址为送达地址</w:t>
      </w:r>
      <w:r>
        <w:rPr>
          <w:rFonts w:hint="eastAsia" w:ascii="宋体" w:hAnsi="宋体" w:eastAsia="宋体" w:cs="Times New Roman"/>
          <w:color w:val="auto"/>
          <w:sz w:val="24"/>
          <w:szCs w:val="24"/>
          <w:highlight w:val="none"/>
          <w:lang w:eastAsia="zh-CN"/>
        </w:rPr>
        <w:t>，</w:t>
      </w:r>
      <w:r>
        <w:rPr>
          <w:rFonts w:asciiTheme="minorEastAsia" w:hAnsiTheme="minorEastAsia" w:eastAsiaTheme="minorEastAsia"/>
          <w:sz w:val="24"/>
          <w:szCs w:val="24"/>
        </w:rPr>
        <w:t>如一方地址、电话、传真号码有变更，应在变更当日内书面通知对方，否则，应承担相应责任。</w:t>
      </w:r>
      <w:r>
        <w:rPr>
          <w:rFonts w:hint="eastAsia" w:ascii="宋体" w:hAnsi="宋体" w:eastAsia="宋体" w:cs="Times New Roman"/>
          <w:color w:val="auto"/>
          <w:sz w:val="24"/>
          <w:szCs w:val="24"/>
          <w:highlight w:val="none"/>
        </w:rPr>
        <w:t>一方在收到该变更的书面通知前已发出的文件仍视为有效送达。双方通过诉讼</w:t>
      </w:r>
      <w:r>
        <w:rPr>
          <w:rFonts w:hint="eastAsia" w:ascii="宋体" w:hAnsi="宋体" w:eastAsia="宋体" w:cs="Times New Roman"/>
          <w:color w:val="auto"/>
          <w:sz w:val="24"/>
          <w:szCs w:val="24"/>
          <w:highlight w:val="none"/>
          <w:lang w:val="en-US" w:eastAsia="zh-CN"/>
        </w:rPr>
        <w:t>途径</w:t>
      </w:r>
      <w:r>
        <w:rPr>
          <w:rFonts w:hint="eastAsia" w:ascii="宋体" w:hAnsi="宋体" w:eastAsia="宋体" w:cs="Times New Roman"/>
          <w:color w:val="auto"/>
          <w:sz w:val="24"/>
          <w:szCs w:val="24"/>
          <w:highlight w:val="none"/>
        </w:rPr>
        <w:t>解决纷争时人民法院的诉讼文书亦可以按本合同约定地址送达。</w:t>
      </w:r>
    </w:p>
    <w:p w14:paraId="6B41303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b/>
          <w:sz w:val="24"/>
          <w:szCs w:val="24"/>
        </w:rPr>
      </w:pPr>
      <w:r>
        <w:rPr>
          <w:rFonts w:hint="eastAsia" w:asciiTheme="minorEastAsia" w:hAnsiTheme="minorEastAsia" w:eastAsiaTheme="minorEastAsia"/>
          <w:b/>
          <w:sz w:val="24"/>
          <w:szCs w:val="24"/>
        </w:rPr>
        <w:t>第十</w:t>
      </w:r>
      <w:r>
        <w:rPr>
          <w:rFonts w:hint="eastAsia" w:asciiTheme="minorEastAsia" w:hAnsiTheme="minorEastAsia" w:eastAsiaTheme="minorEastAsia"/>
          <w:b/>
          <w:sz w:val="24"/>
          <w:szCs w:val="24"/>
          <w:lang w:val="en-US" w:eastAsia="zh-CN"/>
        </w:rPr>
        <w:t>五</w:t>
      </w:r>
      <w:r>
        <w:rPr>
          <w:rFonts w:hint="eastAsia" w:asciiTheme="minorEastAsia" w:hAnsiTheme="minorEastAsia" w:eastAsiaTheme="minorEastAsia"/>
          <w:b/>
          <w:sz w:val="24"/>
          <w:szCs w:val="24"/>
        </w:rPr>
        <w:t xml:space="preserve">条 </w:t>
      </w:r>
      <w:r>
        <w:rPr>
          <w:rFonts w:asciiTheme="minorEastAsia" w:hAnsiTheme="minorEastAsia" w:eastAsiaTheme="minorEastAsia"/>
          <w:b/>
          <w:sz w:val="24"/>
          <w:szCs w:val="24"/>
        </w:rPr>
        <w:t>合同生效</w:t>
      </w:r>
    </w:p>
    <w:p w14:paraId="248D1DF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asciiTheme="minorEastAsia" w:hAnsiTheme="minorEastAsia" w:eastAsiaTheme="minorEastAsia"/>
          <w:sz w:val="24"/>
          <w:szCs w:val="24"/>
        </w:rPr>
        <w:t>1.本合同在甲乙双方盖章之日及法定代表人或委托代理人签署之日起生效。</w:t>
      </w:r>
    </w:p>
    <w:p w14:paraId="5D56503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asciiTheme="minorEastAsia" w:hAnsiTheme="minorEastAsia" w:eastAsiaTheme="minorEastAsia"/>
          <w:sz w:val="24"/>
          <w:szCs w:val="24"/>
        </w:rPr>
        <w:t>2.本合同一式陆份，甲方肆份，乙方贰份, 具有同等法律效力。</w:t>
      </w:r>
    </w:p>
    <w:p w14:paraId="04BEBF3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asciiTheme="minorEastAsia" w:hAnsiTheme="minorEastAsia" w:eastAsiaTheme="minorEastAsia"/>
          <w:sz w:val="24"/>
          <w:szCs w:val="24"/>
        </w:rPr>
        <w:t>3.本合同附件：</w:t>
      </w:r>
    </w:p>
    <w:p w14:paraId="324C07D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附件</w:t>
      </w:r>
      <w:r>
        <w:rPr>
          <w:rFonts w:asciiTheme="minorEastAsia" w:hAnsiTheme="minorEastAsia" w:eastAsiaTheme="minorEastAsia"/>
          <w:sz w:val="24"/>
          <w:szCs w:val="24"/>
        </w:rPr>
        <w:t>1：</w:t>
      </w:r>
      <w:r>
        <w:rPr>
          <w:rFonts w:hint="eastAsia" w:asciiTheme="minorEastAsia" w:hAnsiTheme="minorEastAsia" w:eastAsiaTheme="minorEastAsia"/>
          <w:sz w:val="24"/>
          <w:szCs w:val="24"/>
        </w:rPr>
        <w:t>《报价清单》</w:t>
      </w:r>
    </w:p>
    <w:p w14:paraId="4DA4D15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附件</w:t>
      </w:r>
      <w:r>
        <w:rPr>
          <w:rFonts w:asciiTheme="minorEastAsia" w:hAnsiTheme="minorEastAsia" w:eastAsiaTheme="minorEastAsia"/>
          <w:sz w:val="24"/>
          <w:szCs w:val="24"/>
        </w:rPr>
        <w:t>2：《阳光合作协议》</w:t>
      </w:r>
    </w:p>
    <w:p w14:paraId="43090B1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lang w:val="en-US" w:eastAsia="zh-CN"/>
        </w:rPr>
      </w:pPr>
      <w:bookmarkStart w:id="184" w:name="_Toc6334"/>
      <w:bookmarkStart w:id="185" w:name="_Toc14417"/>
      <w:r>
        <w:rPr>
          <w:rFonts w:hint="eastAsia" w:asciiTheme="minorEastAsia" w:hAnsiTheme="minorEastAsia" w:eastAsiaTheme="minorEastAsia"/>
          <w:sz w:val="24"/>
          <w:szCs w:val="24"/>
        </w:rPr>
        <w:t>附件</w:t>
      </w:r>
      <w:r>
        <w:rPr>
          <w:rFonts w:hint="eastAsia" w:asciiTheme="minorEastAsia" w:hAnsiTheme="minorEastAsia"/>
          <w:sz w:val="24"/>
          <w:szCs w:val="24"/>
          <w:lang w:val="en-US" w:eastAsia="zh-CN"/>
        </w:rPr>
        <w:t>3</w:t>
      </w:r>
      <w:r>
        <w:rPr>
          <w:rFonts w:hint="eastAsia" w:asciiTheme="minorEastAsia" w:hAnsiTheme="minorEastAsia" w:eastAsiaTheme="minorEastAsia"/>
          <w:sz w:val="24"/>
          <w:szCs w:val="24"/>
        </w:rPr>
        <w:t>：</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技术需求书</w:t>
      </w:r>
      <w:r>
        <w:rPr>
          <w:rFonts w:hint="eastAsia" w:asciiTheme="minorEastAsia" w:hAnsiTheme="minorEastAsia" w:eastAsiaTheme="minorEastAsia"/>
          <w:sz w:val="24"/>
          <w:szCs w:val="24"/>
          <w:lang w:eastAsia="zh-CN"/>
        </w:rPr>
        <w:t>》</w:t>
      </w:r>
      <w:bookmarkEnd w:id="184"/>
      <w:bookmarkEnd w:id="185"/>
    </w:p>
    <w:p w14:paraId="618388C8">
      <w:pPr>
        <w:keepNext w:val="0"/>
        <w:keepLines w:val="0"/>
        <w:pageBreakBefore w:val="0"/>
        <w:tabs>
          <w:tab w:val="left" w:pos="6116"/>
        </w:tabs>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val="en-US" w:eastAsia="zh-CN"/>
        </w:rPr>
        <w:t>附件</w:t>
      </w:r>
      <w:r>
        <w:rPr>
          <w:rFonts w:hint="eastAsia" w:asciiTheme="minorEastAsia" w:hAnsiTheme="minorEastAsia"/>
          <w:sz w:val="24"/>
          <w:szCs w:val="24"/>
          <w:lang w:val="en-US" w:eastAsia="zh-CN"/>
        </w:rPr>
        <w:t>4</w:t>
      </w:r>
      <w:r>
        <w:rPr>
          <w:rFonts w:hint="eastAsia" w:asciiTheme="minorEastAsia" w:hAnsiTheme="minorEastAsia" w:eastAsiaTheme="minorEastAsia"/>
          <w:sz w:val="24"/>
          <w:szCs w:val="24"/>
          <w:lang w:val="en-US" w:eastAsia="zh-CN"/>
        </w:rPr>
        <w:t>：</w:t>
      </w:r>
      <w:r>
        <w:rPr>
          <w:rFonts w:asciiTheme="minorEastAsia" w:hAnsiTheme="minorEastAsia" w:eastAsiaTheme="minorEastAsia"/>
          <w:sz w:val="24"/>
          <w:szCs w:val="24"/>
        </w:rPr>
        <w:t>《</w:t>
      </w:r>
      <w:r>
        <w:rPr>
          <w:rFonts w:hint="eastAsia" w:asciiTheme="minorEastAsia" w:hAnsiTheme="minorEastAsia" w:eastAsiaTheme="minorEastAsia"/>
          <w:sz w:val="24"/>
          <w:szCs w:val="24"/>
          <w:lang w:val="en-US" w:eastAsia="zh-CN"/>
        </w:rPr>
        <w:t>安全管理协议书</w:t>
      </w:r>
      <w:r>
        <w:rPr>
          <w:rFonts w:asciiTheme="minorEastAsia" w:hAnsiTheme="minorEastAsia" w:eastAsiaTheme="minorEastAsia"/>
          <w:sz w:val="24"/>
          <w:szCs w:val="24"/>
        </w:rPr>
        <w:t>》</w:t>
      </w:r>
    </w:p>
    <w:p w14:paraId="7DA60D2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sz w:val="24"/>
          <w:szCs w:val="24"/>
        </w:rPr>
      </w:pPr>
    </w:p>
    <w:p w14:paraId="4C2C8D1C">
      <w:pPr>
        <w:spacing w:line="360" w:lineRule="auto"/>
        <w:rPr>
          <w:rFonts w:asciiTheme="minorEastAsia" w:hAnsiTheme="minorEastAsia" w:eastAsiaTheme="minorEastAsia"/>
          <w:sz w:val="24"/>
          <w:szCs w:val="24"/>
        </w:rPr>
      </w:pPr>
      <w:r>
        <w:rPr>
          <w:rFonts w:asciiTheme="minorEastAsia" w:hAnsiTheme="minorEastAsia" w:eastAsiaTheme="minorEastAsia"/>
          <w:sz w:val="24"/>
          <w:szCs w:val="24"/>
        </w:rPr>
        <w:t xml:space="preserve">甲方（盖章）：                  </w:t>
      </w:r>
      <w:r>
        <w:rPr>
          <w:rFonts w:hint="eastAsia" w:asciiTheme="minorEastAsia" w:hAnsiTheme="minorEastAsia" w:eastAsiaTheme="minorEastAsia"/>
          <w:sz w:val="24"/>
          <w:szCs w:val="24"/>
          <w:lang w:val="en-US" w:eastAsia="zh-CN"/>
        </w:rPr>
        <w:t xml:space="preserve">  </w:t>
      </w:r>
      <w:r>
        <w:rPr>
          <w:rFonts w:asciiTheme="minorEastAsia" w:hAnsiTheme="minorEastAsia" w:eastAsiaTheme="minorEastAsia"/>
          <w:sz w:val="24"/>
          <w:szCs w:val="24"/>
        </w:rPr>
        <w:t xml:space="preserve">   乙方（盖章）：</w:t>
      </w:r>
    </w:p>
    <w:p w14:paraId="458C945F">
      <w:pPr>
        <w:spacing w:line="360" w:lineRule="auto"/>
        <w:rPr>
          <w:rFonts w:asciiTheme="minorEastAsia" w:hAnsiTheme="minorEastAsia" w:eastAsiaTheme="minorEastAsia"/>
          <w:sz w:val="24"/>
          <w:szCs w:val="24"/>
        </w:rPr>
      </w:pPr>
    </w:p>
    <w:p w14:paraId="368F4C0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法定代表人（签章）：</w:t>
      </w:r>
      <w:r>
        <w:rPr>
          <w:rFonts w:asciiTheme="minorEastAsia" w:hAnsiTheme="minorEastAsia" w:eastAsiaTheme="minorEastAsia"/>
          <w:sz w:val="24"/>
          <w:szCs w:val="24"/>
        </w:rPr>
        <w:t xml:space="preserve">                 法定代表人（签章）：</w:t>
      </w:r>
    </w:p>
    <w:p w14:paraId="25E9E2BF">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或授权代表人（签字）：</w:t>
      </w:r>
      <w:r>
        <w:rPr>
          <w:rFonts w:asciiTheme="minorEastAsia" w:hAnsiTheme="minorEastAsia" w:eastAsiaTheme="minorEastAsia"/>
          <w:sz w:val="24"/>
          <w:szCs w:val="24"/>
        </w:rPr>
        <w:t xml:space="preserve">               或授权代表人（签字）：</w:t>
      </w:r>
    </w:p>
    <w:p w14:paraId="077F62EE">
      <w:pPr>
        <w:spacing w:line="360" w:lineRule="auto"/>
        <w:rPr>
          <w:rFonts w:asciiTheme="minorEastAsia" w:hAnsiTheme="minorEastAsia" w:eastAsiaTheme="minorEastAsia"/>
          <w:sz w:val="24"/>
          <w:szCs w:val="24"/>
        </w:rPr>
      </w:pPr>
      <w:r>
        <w:rPr>
          <w:rFonts w:asciiTheme="minorEastAsia" w:hAnsiTheme="minorEastAsia" w:eastAsiaTheme="minorEastAsia"/>
          <w:sz w:val="24"/>
          <w:szCs w:val="24"/>
        </w:rPr>
        <w:t xml:space="preserve">                                 </w:t>
      </w:r>
    </w:p>
    <w:p w14:paraId="792649EC">
      <w:pPr>
        <w:spacing w:line="360" w:lineRule="auto"/>
        <w:ind w:right="96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签约地点：东莞市</w:t>
      </w:r>
    </w:p>
    <w:p w14:paraId="01F91A66">
      <w:pPr>
        <w:spacing w:line="360" w:lineRule="auto"/>
        <w:ind w:right="96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lang w:val="en-US" w:eastAsia="zh-CN"/>
        </w:rPr>
        <w:t xml:space="preserve"> </w:t>
      </w:r>
      <w:r>
        <w:rPr>
          <w:rFonts w:hint="eastAsia" w:asciiTheme="minorEastAsia" w:hAnsiTheme="minorEastAsia" w:eastAsiaTheme="minorEastAsia"/>
          <w:sz w:val="24"/>
          <w:szCs w:val="24"/>
        </w:rPr>
        <w:t xml:space="preserve">签订时间： </w:t>
      </w:r>
      <w:r>
        <w:rPr>
          <w:rFonts w:asciiTheme="minorEastAsia" w:hAnsiTheme="minorEastAsia" w:eastAsiaTheme="minorEastAsia"/>
          <w:sz w:val="24"/>
          <w:szCs w:val="24"/>
        </w:rPr>
        <w:t>年  月  日</w:t>
      </w:r>
    </w:p>
    <w:p w14:paraId="0AF07706">
      <w:pPr>
        <w:wordWrap w:val="0"/>
        <w:ind w:firstLine="3080" w:firstLineChars="1100"/>
        <w:rPr>
          <w:rFonts w:hint="eastAsia"/>
          <w:color w:val="auto"/>
          <w:sz w:val="28"/>
          <w:szCs w:val="28"/>
          <w:highlight w:val="none"/>
        </w:rPr>
      </w:pPr>
    </w:p>
    <w:p w14:paraId="68BC9D8F">
      <w:pPr>
        <w:rPr>
          <w:rFonts w:hint="eastAsia"/>
          <w:color w:val="auto"/>
          <w:sz w:val="28"/>
          <w:szCs w:val="28"/>
          <w:highlight w:val="none"/>
        </w:rPr>
      </w:pPr>
      <w:r>
        <w:rPr>
          <w:rFonts w:hint="eastAsia"/>
          <w:color w:val="auto"/>
          <w:sz w:val="28"/>
          <w:szCs w:val="28"/>
          <w:highlight w:val="none"/>
        </w:rPr>
        <w:br w:type="page"/>
      </w:r>
    </w:p>
    <w:p w14:paraId="3E4BBD51">
      <w:pPr>
        <w:spacing w:line="480" w:lineRule="exact"/>
        <w:jc w:val="left"/>
        <w:rPr>
          <w:rFonts w:hint="eastAsia" w:ascii="仿宋" w:hAnsi="仿宋" w:eastAsia="仿宋"/>
          <w:b/>
          <w:color w:val="000000"/>
          <w:sz w:val="24"/>
          <w:szCs w:val="24"/>
        </w:rPr>
      </w:pPr>
      <w:r>
        <w:rPr>
          <w:rFonts w:hint="eastAsia" w:ascii="仿宋" w:hAnsi="仿宋" w:eastAsia="仿宋"/>
          <w:b/>
          <w:color w:val="000000"/>
          <w:sz w:val="24"/>
          <w:szCs w:val="24"/>
        </w:rPr>
        <w:t>附件1：《报价清单》</w:t>
      </w:r>
    </w:p>
    <w:p w14:paraId="503654B5">
      <w:pPr>
        <w:pStyle w:val="2"/>
        <w:spacing w:before="0" w:line="240" w:lineRule="auto"/>
        <w:ind w:left="119"/>
        <w:rPr>
          <w:sz w:val="21"/>
          <w:szCs w:val="21"/>
        </w:rPr>
      </w:pPr>
    </w:p>
    <w:tbl>
      <w:tblPr>
        <w:tblStyle w:val="32"/>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27"/>
        <w:gridCol w:w="1212"/>
        <w:gridCol w:w="1663"/>
        <w:gridCol w:w="3477"/>
        <w:gridCol w:w="2144"/>
      </w:tblGrid>
      <w:tr w14:paraId="1B720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80" w:hRule="atLeast"/>
          <w:tblHeader/>
        </w:trPr>
        <w:tc>
          <w:tcPr>
            <w:tcW w:w="394" w:type="pct"/>
            <w:tcBorders>
              <w:top w:val="single" w:color="000000" w:sz="4" w:space="0"/>
              <w:left w:val="single" w:color="000000" w:sz="4" w:space="0"/>
              <w:bottom w:val="single" w:color="000000" w:sz="4" w:space="0"/>
              <w:right w:val="single" w:color="000000" w:sz="4" w:space="0"/>
            </w:tcBorders>
            <w:noWrap w:val="0"/>
            <w:vAlign w:val="center"/>
          </w:tcPr>
          <w:p w14:paraId="6690503A">
            <w:pPr>
              <w:pStyle w:val="99"/>
              <w:keepNext w:val="0"/>
              <w:keepLines w:val="0"/>
              <w:pageBreakBefore w:val="0"/>
              <w:widowControl/>
              <w:kinsoku/>
              <w:wordWrap/>
              <w:overflowPunct/>
              <w:topLinePunct w:val="0"/>
              <w:autoSpaceDE/>
              <w:autoSpaceDN/>
              <w:bidi w:val="0"/>
              <w:adjustRightInd w:val="0"/>
              <w:snapToGrid/>
              <w:textAlignment w:val="center"/>
              <w:rPr>
                <w:rFonts w:hint="eastAsia"/>
                <w:b/>
                <w:bCs/>
                <w:sz w:val="24"/>
                <w:szCs w:val="24"/>
              </w:rPr>
            </w:pPr>
            <w:r>
              <w:rPr>
                <w:rFonts w:hint="eastAsia"/>
                <w:b/>
                <w:bCs/>
                <w:sz w:val="24"/>
                <w:szCs w:val="24"/>
                <w:lang w:val="en-US" w:eastAsia="zh-CN"/>
              </w:rPr>
              <w:t>序号</w:t>
            </w:r>
          </w:p>
        </w:tc>
        <w:tc>
          <w:tcPr>
            <w:tcW w:w="657" w:type="pct"/>
            <w:tcBorders>
              <w:top w:val="single" w:color="000000" w:sz="4" w:space="0"/>
              <w:left w:val="single" w:color="000000" w:sz="4" w:space="0"/>
              <w:bottom w:val="single" w:color="000000" w:sz="4" w:space="0"/>
              <w:right w:val="single" w:color="000000" w:sz="4" w:space="0"/>
            </w:tcBorders>
            <w:noWrap/>
            <w:vAlign w:val="center"/>
          </w:tcPr>
          <w:p w14:paraId="5D5587A2">
            <w:pPr>
              <w:pStyle w:val="99"/>
              <w:keepNext w:val="0"/>
              <w:keepLines w:val="0"/>
              <w:pageBreakBefore w:val="0"/>
              <w:widowControl/>
              <w:kinsoku/>
              <w:wordWrap/>
              <w:overflowPunct/>
              <w:topLinePunct w:val="0"/>
              <w:autoSpaceDE/>
              <w:autoSpaceDN/>
              <w:bidi w:val="0"/>
              <w:adjustRightInd w:val="0"/>
              <w:snapToGrid/>
              <w:textAlignment w:val="center"/>
              <w:rPr>
                <w:rFonts w:hint="eastAsia"/>
                <w:b/>
                <w:bCs/>
                <w:sz w:val="24"/>
                <w:szCs w:val="24"/>
              </w:rPr>
            </w:pPr>
            <w:r>
              <w:rPr>
                <w:rFonts w:hint="eastAsia"/>
                <w:b/>
                <w:bCs/>
                <w:sz w:val="24"/>
                <w:szCs w:val="24"/>
                <w:lang w:val="en-US" w:eastAsia="zh-CN"/>
              </w:rPr>
              <w:t>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9296726">
            <w:pPr>
              <w:pStyle w:val="99"/>
              <w:keepNext w:val="0"/>
              <w:keepLines w:val="0"/>
              <w:pageBreakBefore w:val="0"/>
              <w:widowControl/>
              <w:kinsoku/>
              <w:wordWrap/>
              <w:overflowPunct/>
              <w:topLinePunct w:val="0"/>
              <w:autoSpaceDE/>
              <w:autoSpaceDN/>
              <w:bidi w:val="0"/>
              <w:adjustRightInd w:val="0"/>
              <w:snapToGrid/>
              <w:textAlignment w:val="center"/>
              <w:rPr>
                <w:rFonts w:hint="eastAsia"/>
                <w:b/>
                <w:bCs/>
                <w:sz w:val="24"/>
                <w:szCs w:val="24"/>
              </w:rPr>
            </w:pPr>
            <w:r>
              <w:rPr>
                <w:rFonts w:hint="eastAsia"/>
                <w:b/>
                <w:bCs/>
                <w:sz w:val="24"/>
                <w:szCs w:val="24"/>
                <w:lang w:val="en-US" w:eastAsia="zh-CN"/>
              </w:rPr>
              <w:t>计价内容</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6E536E32">
            <w:pPr>
              <w:pStyle w:val="99"/>
              <w:keepNext w:val="0"/>
              <w:keepLines w:val="0"/>
              <w:pageBreakBefore w:val="0"/>
              <w:widowControl/>
              <w:kinsoku/>
              <w:wordWrap/>
              <w:overflowPunct/>
              <w:topLinePunct w:val="0"/>
              <w:autoSpaceDE/>
              <w:autoSpaceDN/>
              <w:bidi w:val="0"/>
              <w:adjustRightInd w:val="0"/>
              <w:snapToGrid/>
              <w:textAlignment w:val="center"/>
              <w:rPr>
                <w:rFonts w:hint="eastAsia"/>
                <w:b/>
                <w:bCs/>
                <w:sz w:val="24"/>
                <w:szCs w:val="24"/>
              </w:rPr>
            </w:pPr>
            <w:r>
              <w:rPr>
                <w:rFonts w:hint="eastAsia"/>
                <w:b/>
                <w:bCs/>
                <w:sz w:val="24"/>
                <w:szCs w:val="24"/>
                <w:lang w:val="en-US" w:eastAsia="zh-CN"/>
              </w:rPr>
              <w:t>费用（万元）</w:t>
            </w: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481AC96B">
            <w:pPr>
              <w:pStyle w:val="99"/>
              <w:keepNext w:val="0"/>
              <w:keepLines w:val="0"/>
              <w:pageBreakBefore w:val="0"/>
              <w:widowControl/>
              <w:kinsoku/>
              <w:wordWrap/>
              <w:overflowPunct/>
              <w:topLinePunct w:val="0"/>
              <w:autoSpaceDE/>
              <w:autoSpaceDN/>
              <w:bidi w:val="0"/>
              <w:adjustRightInd w:val="0"/>
              <w:snapToGrid/>
              <w:textAlignment w:val="center"/>
              <w:rPr>
                <w:rFonts w:hint="eastAsia"/>
                <w:b/>
                <w:bCs/>
                <w:sz w:val="24"/>
                <w:szCs w:val="24"/>
              </w:rPr>
            </w:pPr>
            <w:r>
              <w:rPr>
                <w:rFonts w:hint="eastAsia"/>
                <w:b/>
                <w:bCs/>
                <w:sz w:val="24"/>
                <w:szCs w:val="24"/>
                <w:lang w:val="en-US" w:eastAsia="zh-CN"/>
              </w:rPr>
              <w:t>备注</w:t>
            </w:r>
          </w:p>
        </w:tc>
      </w:tr>
      <w:tr w14:paraId="0B59F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restart"/>
            <w:tcBorders>
              <w:top w:val="single" w:color="000000" w:sz="4" w:space="0"/>
              <w:left w:val="single" w:color="000000" w:sz="4" w:space="0"/>
              <w:bottom w:val="single" w:color="000000" w:sz="4" w:space="0"/>
              <w:right w:val="single" w:color="000000" w:sz="4" w:space="0"/>
            </w:tcBorders>
            <w:noWrap/>
            <w:vAlign w:val="center"/>
          </w:tcPr>
          <w:p w14:paraId="2F79B380">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1</w:t>
            </w:r>
          </w:p>
        </w:tc>
        <w:tc>
          <w:tcPr>
            <w:tcW w:w="657" w:type="pct"/>
            <w:vMerge w:val="restart"/>
            <w:tcBorders>
              <w:top w:val="single" w:color="000000" w:sz="4" w:space="0"/>
              <w:left w:val="single" w:color="000000" w:sz="4" w:space="0"/>
              <w:bottom w:val="single" w:color="000000" w:sz="4" w:space="0"/>
              <w:right w:val="single" w:color="000000" w:sz="4" w:space="0"/>
            </w:tcBorders>
            <w:noWrap w:val="0"/>
            <w:vAlign w:val="center"/>
          </w:tcPr>
          <w:p w14:paraId="3B7F7A1C">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lang w:val="en-US"/>
              </w:rPr>
            </w:pPr>
            <w:r>
              <w:rPr>
                <w:rFonts w:hint="eastAsia" w:asciiTheme="minorEastAsia" w:hAnsiTheme="minorEastAsia" w:eastAsiaTheme="minorEastAsia" w:cstheme="minorEastAsia"/>
                <w:b/>
                <w:bCs/>
                <w:sz w:val="21"/>
                <w:szCs w:val="21"/>
                <w:lang w:val="en-US"/>
              </w:rPr>
              <w:t>环境影响评价服务</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85F1833">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2FB09BAD">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51307006">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r>
      <w:tr w14:paraId="1003C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3D74BF98">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ABB8C0">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A8537B1">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3AE76FD1">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2F1444CC">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r>
      <w:tr w14:paraId="10AB7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23837558">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4D306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65D1D8F5">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0B60EAA4">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14CA4559">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r>
      <w:tr w14:paraId="16275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3E7F908D">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D99279">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6B56F65">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eastAsia="zh-CN"/>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52E54EBF">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eastAsia="zh-CN"/>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38465995">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eastAsia="zh-CN"/>
              </w:rPr>
            </w:pPr>
          </w:p>
        </w:tc>
      </w:tr>
      <w:tr w14:paraId="0A1AA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51481ED7">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308DEB">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76A0A1C6">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eastAsia="zh-CN"/>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4C609236">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eastAsia="zh-CN"/>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4679FDE8">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eastAsia="zh-CN"/>
              </w:rPr>
            </w:pPr>
          </w:p>
        </w:tc>
      </w:tr>
      <w:tr w14:paraId="3BDC9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1FF648A1">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CE7DC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AFD2012">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eastAsia="zh-CN"/>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58A43154">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eastAsia="zh-CN"/>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0F4334A9">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eastAsia="zh-CN"/>
              </w:rPr>
            </w:pPr>
          </w:p>
        </w:tc>
      </w:tr>
      <w:tr w14:paraId="22D3B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72536703">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0F4F8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044E324F">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719F56CE">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38560CC8">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rPr>
            </w:pPr>
          </w:p>
        </w:tc>
      </w:tr>
      <w:tr w14:paraId="2AC89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68F13C7F">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0B61F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7C541C83">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税费</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265CABFA">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6CB29FB7">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r>
      <w:tr w14:paraId="72FD3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7C2FB133">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AC5B78">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6E31ADF1">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小计</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71ABFACD">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lang w:val="en-US"/>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38AC7250">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28E1D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77CD3E6A">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B0A0B1">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06110CF">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优惠价</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09BEBCF7">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lang w:val="en-US"/>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5B9C8592">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含税</w:t>
            </w:r>
          </w:p>
        </w:tc>
      </w:tr>
      <w:tr w14:paraId="305AD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restart"/>
            <w:tcBorders>
              <w:top w:val="single" w:color="000000" w:sz="4" w:space="0"/>
              <w:left w:val="single" w:color="000000" w:sz="4" w:space="0"/>
              <w:bottom w:val="single" w:color="000000" w:sz="4" w:space="0"/>
              <w:right w:val="single" w:color="000000" w:sz="4" w:space="0"/>
            </w:tcBorders>
            <w:noWrap/>
            <w:vAlign w:val="center"/>
          </w:tcPr>
          <w:p w14:paraId="000C9A23">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2</w:t>
            </w:r>
          </w:p>
        </w:tc>
        <w:tc>
          <w:tcPr>
            <w:tcW w:w="657" w:type="pct"/>
            <w:vMerge w:val="restart"/>
            <w:tcBorders>
              <w:top w:val="single" w:color="000000" w:sz="4" w:space="0"/>
              <w:left w:val="single" w:color="000000" w:sz="4" w:space="0"/>
              <w:bottom w:val="single" w:color="000000" w:sz="4" w:space="0"/>
              <w:right w:val="single" w:color="000000" w:sz="4" w:space="0"/>
            </w:tcBorders>
            <w:noWrap w:val="0"/>
            <w:vAlign w:val="center"/>
          </w:tcPr>
          <w:p w14:paraId="32F0F0B8">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lang w:val="en-US"/>
              </w:rPr>
            </w:pPr>
            <w:r>
              <w:rPr>
                <w:rFonts w:hint="eastAsia" w:asciiTheme="minorEastAsia" w:hAnsiTheme="minorEastAsia" w:eastAsiaTheme="minorEastAsia" w:cstheme="minorEastAsia"/>
                <w:b/>
                <w:bCs/>
                <w:sz w:val="21"/>
                <w:szCs w:val="21"/>
                <w:lang w:val="en-US" w:eastAsia="zh-CN"/>
              </w:rPr>
              <w:t>竣工环境保护验收服务</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5FCA6F3">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5CE454AF">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2036BC6A">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7B5FA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0B024821">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8BCC94">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121A782">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3C36A91E">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33B6BDFD">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1C54B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0D2FCD1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1D9A5F">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E14A683">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41A2AF9A">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7730D21C">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3CC26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0ACC25FC">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2DDAA1">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7F063D31">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1F5A3CC2">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lang w:val="en-US"/>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18D63D7B">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051A5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1A0B1DE5">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BB87CE">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865FDD2">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2122DA8D">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2FD9553B">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6237E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1D00DAA2">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75639D">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9830EC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6D7E71C0">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549520E5">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1C4A9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369ACBD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941687">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F91B963">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5125FABB">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0E44B2C2">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17F8A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2BA8678F">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B83E3F">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189E893">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税费</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75B4492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lang w:val="en-US"/>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4E3DCDD0">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35CFC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02D4AB4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DEE5C8">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67679078">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小计</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2469B23E">
            <w:pPr>
              <w:pStyle w:val="99"/>
              <w:keepNext w:val="0"/>
              <w:keepLines w:val="0"/>
              <w:pageBreakBefore w:val="0"/>
              <w:widowControl/>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sz w:val="21"/>
                <w:szCs w:val="21"/>
                <w:lang w:val="en-US"/>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028E7A5A">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6492E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79FB6625">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5BBF03">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0E0FC6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优惠价</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62F9DAE5">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11614A80">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含税</w:t>
            </w:r>
          </w:p>
        </w:tc>
      </w:tr>
      <w:tr w14:paraId="5CA2A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restart"/>
            <w:tcBorders>
              <w:top w:val="single" w:color="000000" w:sz="4" w:space="0"/>
              <w:left w:val="single" w:color="000000" w:sz="4" w:space="0"/>
              <w:bottom w:val="single" w:color="000000" w:sz="4" w:space="0"/>
              <w:right w:val="single" w:color="000000" w:sz="4" w:space="0"/>
            </w:tcBorders>
            <w:noWrap/>
            <w:vAlign w:val="center"/>
          </w:tcPr>
          <w:p w14:paraId="767A54BC">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3</w:t>
            </w:r>
          </w:p>
        </w:tc>
        <w:tc>
          <w:tcPr>
            <w:tcW w:w="657" w:type="pct"/>
            <w:vMerge w:val="restart"/>
            <w:tcBorders>
              <w:top w:val="single" w:color="000000" w:sz="4" w:space="0"/>
              <w:left w:val="single" w:color="000000" w:sz="4" w:space="0"/>
              <w:bottom w:val="single" w:color="000000" w:sz="4" w:space="0"/>
              <w:right w:val="single" w:color="000000" w:sz="4" w:space="0"/>
            </w:tcBorders>
            <w:noWrap w:val="0"/>
            <w:vAlign w:val="center"/>
          </w:tcPr>
          <w:p w14:paraId="15AE10B9">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lang w:val="en-US"/>
              </w:rPr>
            </w:pPr>
            <w:r>
              <w:rPr>
                <w:rFonts w:hint="eastAsia" w:asciiTheme="minorEastAsia" w:hAnsiTheme="minorEastAsia" w:eastAsiaTheme="minorEastAsia" w:cstheme="minorEastAsia"/>
                <w:b/>
                <w:bCs/>
                <w:sz w:val="21"/>
                <w:szCs w:val="21"/>
                <w:lang w:val="en-US" w:eastAsia="zh-CN"/>
              </w:rPr>
              <w:t>突发环境事件应急预案编制及备案服务</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217DDACC">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572B79C0">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lang w:val="en-US"/>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7A608927">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7B63D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689A2979">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6BC747">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6A7FA98D">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7A8042F5">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0F4AA4AD">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6A092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7C0B7841">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6B7BAF">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0748E5F9">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4440A25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lang w:val="en-US"/>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405E68A4">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25905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75FC030B">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49AE24">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F9A820C">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552490F0">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2F62E60C">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30F73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39F40BC2">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04268A">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0F85EEAC">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1078F1FF">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3A57AA05">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43AA2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4458F25A">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959798">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7B2D003B">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税费</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720E7B72">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lang w:val="en-US"/>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3928994B">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78F3A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7A163F1B">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7B66CF">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6C24CDA5">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小计</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78EC6700">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1DC5515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009E7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75D6F435">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68D482">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75C677BD">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优惠价</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0685B0A3">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0CAB542E">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含税</w:t>
            </w:r>
          </w:p>
        </w:tc>
      </w:tr>
      <w:tr w14:paraId="54C12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52" w:type="pct"/>
            <w:gridSpan w:val="3"/>
            <w:tcBorders>
              <w:top w:val="single" w:color="000000" w:sz="4" w:space="0"/>
              <w:left w:val="single" w:color="000000" w:sz="4" w:space="0"/>
              <w:bottom w:val="single" w:color="000000" w:sz="4" w:space="0"/>
              <w:right w:val="single" w:color="000000" w:sz="4" w:space="0"/>
            </w:tcBorders>
            <w:noWrap w:val="0"/>
            <w:vAlign w:val="center"/>
          </w:tcPr>
          <w:p w14:paraId="4B3CF37A">
            <w:pPr>
              <w:pStyle w:val="99"/>
              <w:keepNext w:val="0"/>
              <w:keepLines w:val="0"/>
              <w:pageBreakBefore w:val="0"/>
              <w:widowControl/>
              <w:kinsoku/>
              <w:wordWrap/>
              <w:overflowPunct/>
              <w:topLinePunct w:val="0"/>
              <w:autoSpaceDE/>
              <w:autoSpaceDN/>
              <w:bidi w:val="0"/>
              <w:adjustRightInd w:val="0"/>
              <w:snapToGrid w:val="0"/>
              <w:textAlignment w:val="center"/>
              <w:rPr>
                <w:rFonts w:hint="eastAsia"/>
                <w:b/>
                <w:bCs/>
                <w:sz w:val="24"/>
                <w:szCs w:val="24"/>
              </w:rPr>
            </w:pPr>
            <w:r>
              <w:rPr>
                <w:rFonts w:hint="eastAsia"/>
                <w:b/>
                <w:bCs/>
                <w:sz w:val="24"/>
                <w:szCs w:val="24"/>
                <w:lang w:val="en-US" w:eastAsia="zh-CN"/>
              </w:rPr>
              <w:t>合计</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154228B9">
            <w:pPr>
              <w:pStyle w:val="99"/>
              <w:keepNext w:val="0"/>
              <w:keepLines w:val="0"/>
              <w:pageBreakBefore w:val="0"/>
              <w:widowControl/>
              <w:kinsoku/>
              <w:wordWrap/>
              <w:overflowPunct/>
              <w:topLinePunct w:val="0"/>
              <w:autoSpaceDE/>
              <w:autoSpaceDN/>
              <w:bidi w:val="0"/>
              <w:adjustRightInd w:val="0"/>
              <w:snapToGrid w:val="0"/>
              <w:textAlignment w:val="center"/>
              <w:rPr>
                <w:rFonts w:hint="default"/>
                <w:b/>
                <w:bCs/>
                <w:sz w:val="24"/>
                <w:szCs w:val="24"/>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1F64B36B">
            <w:pPr>
              <w:pStyle w:val="99"/>
              <w:keepNext w:val="0"/>
              <w:keepLines w:val="0"/>
              <w:pageBreakBefore w:val="0"/>
              <w:widowControl/>
              <w:kinsoku/>
              <w:wordWrap/>
              <w:overflowPunct/>
              <w:topLinePunct w:val="0"/>
              <w:autoSpaceDE/>
              <w:autoSpaceDN/>
              <w:bidi w:val="0"/>
              <w:adjustRightInd w:val="0"/>
              <w:snapToGrid w:val="0"/>
              <w:textAlignment w:val="center"/>
              <w:rPr>
                <w:rFonts w:hint="eastAsia"/>
                <w:b/>
                <w:bCs/>
                <w:sz w:val="24"/>
                <w:szCs w:val="24"/>
              </w:rPr>
            </w:pPr>
            <w:r>
              <w:rPr>
                <w:rFonts w:hint="eastAsia"/>
                <w:b/>
                <w:bCs/>
                <w:sz w:val="24"/>
                <w:szCs w:val="24"/>
                <w:lang w:val="en-US" w:eastAsia="zh-CN"/>
              </w:rPr>
              <w:t>含税</w:t>
            </w:r>
          </w:p>
        </w:tc>
      </w:tr>
    </w:tbl>
    <w:p w14:paraId="16B2C315">
      <w:pPr>
        <w:pStyle w:val="100"/>
        <w:bidi w:val="0"/>
        <w:rPr>
          <w:rFonts w:hint="eastAsia"/>
          <w:b/>
          <w:bCs/>
          <w:lang w:val="en-US" w:eastAsia="zh-CN"/>
        </w:rPr>
      </w:pPr>
    </w:p>
    <w:p w14:paraId="0044A83C">
      <w:pPr>
        <w:snapToGrid/>
        <w:spacing w:line="360" w:lineRule="auto"/>
        <w:ind w:firstLine="482" w:firstLineChars="200"/>
        <w:jc w:val="left"/>
        <w:rPr>
          <w:rFonts w:hint="default"/>
          <w:b/>
          <w:bCs/>
          <w:sz w:val="24"/>
          <w:szCs w:val="24"/>
        </w:rPr>
      </w:pPr>
      <w:r>
        <w:rPr>
          <w:rFonts w:hint="default"/>
          <w:b/>
          <w:bCs/>
          <w:sz w:val="24"/>
          <w:szCs w:val="24"/>
        </w:rPr>
        <w:t>按照上述各项费用</w:t>
      </w:r>
      <w:r>
        <w:rPr>
          <w:rFonts w:hint="eastAsia"/>
          <w:b/>
          <w:bCs/>
          <w:sz w:val="24"/>
          <w:szCs w:val="24"/>
          <w:lang w:val="en-US" w:eastAsia="zh-CN"/>
        </w:rPr>
        <w:t>合计</w:t>
      </w:r>
      <w:r>
        <w:rPr>
          <w:rFonts w:hint="default"/>
          <w:b/>
          <w:bCs/>
          <w:sz w:val="24"/>
          <w:szCs w:val="24"/>
        </w:rPr>
        <w:t>，</w:t>
      </w:r>
      <w:r>
        <w:rPr>
          <w:rFonts w:hint="eastAsia"/>
          <w:b/>
          <w:bCs/>
          <w:sz w:val="24"/>
          <w:szCs w:val="24"/>
          <w:lang w:val="en-US" w:eastAsia="zh-CN"/>
        </w:rPr>
        <w:t>本</w:t>
      </w:r>
      <w:r>
        <w:rPr>
          <w:rFonts w:hint="default"/>
          <w:b/>
          <w:bCs/>
          <w:sz w:val="24"/>
          <w:szCs w:val="24"/>
        </w:rPr>
        <w:t>项目</w:t>
      </w:r>
      <w:r>
        <w:rPr>
          <w:rFonts w:hint="eastAsia"/>
          <w:b/>
          <w:bCs/>
          <w:sz w:val="24"/>
          <w:szCs w:val="24"/>
          <w:lang w:eastAsia="zh-CN"/>
        </w:rPr>
        <w:t>（</w:t>
      </w:r>
      <w:r>
        <w:rPr>
          <w:rFonts w:hint="default"/>
          <w:b/>
          <w:bCs/>
          <w:sz w:val="24"/>
          <w:szCs w:val="24"/>
        </w:rPr>
        <w:t>环境影响评价服务、竣工环境保护验收</w:t>
      </w:r>
      <w:r>
        <w:rPr>
          <w:rFonts w:hint="eastAsia"/>
          <w:b/>
          <w:bCs/>
          <w:sz w:val="24"/>
          <w:szCs w:val="24"/>
          <w:lang w:val="en-US" w:eastAsia="zh-CN"/>
        </w:rPr>
        <w:t>服务</w:t>
      </w:r>
      <w:r>
        <w:rPr>
          <w:rFonts w:hint="default"/>
          <w:b/>
          <w:bCs/>
          <w:sz w:val="24"/>
          <w:szCs w:val="24"/>
        </w:rPr>
        <w:t>、突发环境事件应急预案</w:t>
      </w:r>
      <w:r>
        <w:rPr>
          <w:rFonts w:hint="eastAsia"/>
          <w:b/>
          <w:bCs/>
          <w:sz w:val="24"/>
          <w:szCs w:val="24"/>
          <w:lang w:val="en-US" w:eastAsia="zh-CN"/>
        </w:rPr>
        <w:t>编制及备案服务）合同</w:t>
      </w:r>
      <w:r>
        <w:rPr>
          <w:rFonts w:hint="default"/>
          <w:b/>
          <w:bCs/>
          <w:sz w:val="24"/>
          <w:szCs w:val="24"/>
        </w:rPr>
        <w:t>总</w:t>
      </w:r>
      <w:r>
        <w:rPr>
          <w:rFonts w:hint="eastAsia"/>
          <w:b/>
          <w:bCs/>
          <w:sz w:val="24"/>
          <w:szCs w:val="24"/>
          <w:lang w:val="en-US" w:eastAsia="zh-CN"/>
        </w:rPr>
        <w:t>价</w:t>
      </w:r>
      <w:r>
        <w:rPr>
          <w:rFonts w:hint="default"/>
          <w:b/>
          <w:bCs/>
          <w:sz w:val="24"/>
          <w:szCs w:val="24"/>
        </w:rPr>
        <w:t>为</w:t>
      </w:r>
      <w:r>
        <w:rPr>
          <w:rFonts w:hint="eastAsia"/>
          <w:b/>
          <w:bCs/>
          <w:sz w:val="24"/>
          <w:szCs w:val="24"/>
          <w:u w:val="single"/>
          <w:lang w:val="en-US" w:eastAsia="zh-CN"/>
        </w:rPr>
        <w:t xml:space="preserve">       </w:t>
      </w:r>
      <w:r>
        <w:rPr>
          <w:rFonts w:hint="default"/>
          <w:b/>
          <w:bCs/>
          <w:sz w:val="24"/>
          <w:szCs w:val="24"/>
        </w:rPr>
        <w:t>万元（含税）。</w:t>
      </w:r>
    </w:p>
    <w:p w14:paraId="19A4FC8E">
      <w:pPr>
        <w:snapToGrid/>
        <w:spacing w:line="360" w:lineRule="auto"/>
        <w:ind w:firstLine="602" w:firstLineChars="200"/>
        <w:jc w:val="left"/>
        <w:rPr>
          <w:rFonts w:hint="eastAsia" w:ascii="仿宋" w:hAnsi="仿宋" w:eastAsia="仿宋"/>
          <w:b/>
          <w:color w:val="000000"/>
          <w:sz w:val="30"/>
          <w:szCs w:val="30"/>
        </w:rPr>
      </w:pPr>
      <w:r>
        <w:rPr>
          <w:rFonts w:hint="eastAsia" w:ascii="仿宋" w:hAnsi="仿宋" w:eastAsia="仿宋"/>
          <w:b/>
          <w:color w:val="000000"/>
          <w:sz w:val="30"/>
          <w:szCs w:val="30"/>
        </w:rPr>
        <w:br w:type="page"/>
      </w:r>
    </w:p>
    <w:p w14:paraId="5F03D8D0">
      <w:pPr>
        <w:spacing w:line="480" w:lineRule="exact"/>
        <w:jc w:val="left"/>
        <w:rPr>
          <w:rFonts w:ascii="仿宋" w:hAnsi="仿宋" w:eastAsia="仿宋"/>
          <w:b/>
          <w:color w:val="000000"/>
          <w:sz w:val="24"/>
          <w:szCs w:val="24"/>
        </w:rPr>
      </w:pPr>
      <w:r>
        <w:rPr>
          <w:rFonts w:hint="eastAsia" w:ascii="仿宋" w:hAnsi="仿宋" w:eastAsia="仿宋"/>
          <w:b/>
          <w:color w:val="000000"/>
          <w:sz w:val="24"/>
          <w:szCs w:val="24"/>
        </w:rPr>
        <w:t>附件2：</w:t>
      </w:r>
    </w:p>
    <w:p w14:paraId="3221EF5F">
      <w:pPr>
        <w:spacing w:line="480" w:lineRule="exact"/>
        <w:jc w:val="center"/>
        <w:rPr>
          <w:rFonts w:ascii="仿宋" w:hAnsi="仿宋" w:eastAsia="仿宋"/>
          <w:b/>
          <w:color w:val="000000"/>
          <w:sz w:val="30"/>
          <w:szCs w:val="30"/>
        </w:rPr>
      </w:pPr>
    </w:p>
    <w:p w14:paraId="2CAE0F33">
      <w:pPr>
        <w:spacing w:line="480" w:lineRule="exact"/>
        <w:jc w:val="center"/>
        <w:rPr>
          <w:rFonts w:ascii="仿宋" w:hAnsi="仿宋" w:eastAsia="仿宋"/>
          <w:b/>
          <w:color w:val="000000"/>
          <w:sz w:val="30"/>
          <w:szCs w:val="30"/>
        </w:rPr>
      </w:pPr>
      <w:r>
        <w:rPr>
          <w:rFonts w:ascii="仿宋" w:hAnsi="仿宋" w:eastAsia="仿宋"/>
          <w:b/>
          <w:color w:val="000000"/>
          <w:sz w:val="30"/>
          <w:szCs w:val="30"/>
        </w:rPr>
        <w:t>阳光合作协议</w:t>
      </w:r>
    </w:p>
    <w:p w14:paraId="4D8E8A4A">
      <w:pPr>
        <w:spacing w:line="480" w:lineRule="exact"/>
        <w:jc w:val="center"/>
        <w:rPr>
          <w:rFonts w:ascii="仿宋" w:hAnsi="仿宋" w:eastAsia="仿宋"/>
          <w:b/>
          <w:color w:val="000000"/>
          <w:sz w:val="24"/>
          <w:szCs w:val="24"/>
        </w:rPr>
      </w:pPr>
    </w:p>
    <w:p w14:paraId="458F446F">
      <w:pPr>
        <w:spacing w:before="156" w:beforeLines="50" w:after="156" w:afterLines="50" w:line="360" w:lineRule="auto"/>
        <w:ind w:firstLine="420" w:firstLineChars="200"/>
        <w:contextualSpacing/>
        <w:rPr>
          <w:rFonts w:ascii="宋体" w:hAnsi="宋体"/>
        </w:rPr>
      </w:pPr>
      <w:r>
        <w:rPr>
          <w:rFonts w:ascii="宋体" w:hAnsi="宋体"/>
        </w:rPr>
        <w:t>甲方（采购方全称）：</w:t>
      </w:r>
      <w:r>
        <w:rPr>
          <w:rFonts w:hint="eastAsia" w:ascii="宋体" w:hAnsi="宋体"/>
          <w:lang w:val="en-US" w:eastAsia="zh-CN"/>
        </w:rPr>
        <w:t>广东东实环境股份</w:t>
      </w:r>
      <w:r>
        <w:rPr>
          <w:rFonts w:ascii="宋体" w:hAnsi="宋体"/>
        </w:rPr>
        <w:t>有限公司</w:t>
      </w:r>
    </w:p>
    <w:p w14:paraId="50BD43BB">
      <w:pPr>
        <w:spacing w:before="156" w:beforeLines="50" w:after="156" w:afterLines="50" w:line="360" w:lineRule="auto"/>
        <w:ind w:firstLine="420" w:firstLineChars="200"/>
        <w:contextualSpacing/>
        <w:rPr>
          <w:rFonts w:ascii="宋体" w:hAnsi="宋体"/>
        </w:rPr>
      </w:pPr>
      <w:r>
        <w:rPr>
          <w:rFonts w:ascii="宋体" w:hAnsi="宋体"/>
        </w:rPr>
        <w:t xml:space="preserve">乙方（供应方全称）： </w:t>
      </w:r>
    </w:p>
    <w:p w14:paraId="75B25B5F">
      <w:pPr>
        <w:spacing w:before="156" w:beforeLines="50" w:after="156" w:afterLines="50" w:line="360" w:lineRule="auto"/>
        <w:ind w:firstLine="420" w:firstLineChars="200"/>
        <w:contextualSpacing/>
        <w:rPr>
          <w:rFonts w:ascii="宋体"/>
        </w:rPr>
      </w:pPr>
      <w:r>
        <w:rPr>
          <w:rFonts w:hint="eastAsia" w:ascii="宋体" w:hAnsi="宋体"/>
        </w:rPr>
        <w:t>甲乙双方于</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日签署了《</w:t>
      </w:r>
      <w:r>
        <w:rPr>
          <w:rFonts w:hint="eastAsia" w:ascii="宋体" w:hAnsi="宋体"/>
          <w:lang w:val="en-US" w:eastAsia="zh-CN"/>
        </w:rPr>
        <w:t>麻涌餐厨项目预处理系统提效工程环保技术服务项目（重新采购）</w:t>
      </w:r>
      <w:r>
        <w:rPr>
          <w:rFonts w:hint="eastAsia" w:ascii="宋体" w:hAnsi="宋体" w:eastAsiaTheme="minorEastAsia"/>
          <w:b w:val="0"/>
          <w:sz w:val="21"/>
          <w:szCs w:val="24"/>
          <w:lang w:val="en-US" w:eastAsia="zh-CN"/>
        </w:rPr>
        <w:t>合同</w:t>
      </w:r>
      <w:r>
        <w:rPr>
          <w:rFonts w:hint="eastAsia" w:ascii="宋体" w:hAnsi="宋体"/>
        </w:rPr>
        <w:t>》（以下简称原合同），为加强双方阳光合作，保证职员职业安全，甲乙双方经协商签订本协议并作为双方共同遵守的阳光合作行为准则。</w:t>
      </w:r>
    </w:p>
    <w:p w14:paraId="6900B87D">
      <w:pPr>
        <w:spacing w:before="156" w:beforeLines="50" w:after="156" w:afterLines="50" w:line="360" w:lineRule="auto"/>
        <w:ind w:left="420" w:leftChars="200"/>
        <w:contextualSpacing/>
        <w:rPr>
          <w:rFonts w:ascii="宋体" w:hAnsi="宋体"/>
          <w:b/>
        </w:rPr>
      </w:pPr>
      <w:r>
        <w:rPr>
          <w:rFonts w:hint="eastAsia" w:ascii="宋体" w:hAnsi="宋体"/>
          <w:b/>
        </w:rPr>
        <w:t>一、甲方责任</w:t>
      </w:r>
    </w:p>
    <w:p w14:paraId="0F02290D">
      <w:pPr>
        <w:spacing w:before="156" w:beforeLines="50" w:after="156" w:afterLines="50" w:line="360" w:lineRule="auto"/>
        <w:ind w:left="105" w:leftChars="50" w:firstLine="420" w:firstLineChars="200"/>
        <w:contextualSpacing/>
        <w:rPr>
          <w:rFonts w:ascii="宋体" w:hAnsi="宋体"/>
        </w:rPr>
      </w:pPr>
      <w:r>
        <w:rPr>
          <w:rFonts w:hint="eastAsia" w:ascii="宋体" w:hAnsi="宋体"/>
        </w:rPr>
        <w:t>1.甲方有责任向乙方介绍本单位有关采购管理通用原则和本协议的规定。</w:t>
      </w:r>
    </w:p>
    <w:p w14:paraId="519244D1">
      <w:pPr>
        <w:spacing w:before="156" w:beforeLines="50" w:after="156" w:afterLines="50" w:line="360" w:lineRule="auto"/>
        <w:ind w:left="105" w:leftChars="50" w:firstLine="420" w:firstLineChars="200"/>
        <w:contextualSpacing/>
        <w:rPr>
          <w:rFonts w:ascii="宋体" w:hAnsi="宋体"/>
        </w:rPr>
      </w:pPr>
      <w:r>
        <w:rPr>
          <w:rFonts w:hint="eastAsia" w:ascii="宋体" w:hAnsi="宋体"/>
        </w:rPr>
        <w:t>2.甲方有责任对本单位相关人员进行阳光合作教育。</w:t>
      </w:r>
    </w:p>
    <w:p w14:paraId="17FC7019">
      <w:pPr>
        <w:spacing w:before="156" w:beforeLines="50" w:after="156" w:afterLines="50" w:line="360" w:lineRule="auto"/>
        <w:ind w:left="105" w:leftChars="50" w:firstLine="420" w:firstLineChars="200"/>
        <w:contextualSpacing/>
        <w:rPr>
          <w:rFonts w:ascii="宋体" w:hAnsi="宋体"/>
        </w:rPr>
      </w:pPr>
      <w:r>
        <w:rPr>
          <w:rFonts w:hint="eastAsia" w:ascii="宋体" w:hAnsi="宋体"/>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7A8309DC">
      <w:pPr>
        <w:spacing w:before="156" w:beforeLines="50" w:after="156" w:afterLines="50" w:line="360" w:lineRule="auto"/>
        <w:ind w:left="105" w:leftChars="50" w:firstLine="420" w:firstLineChars="200"/>
        <w:contextualSpacing/>
        <w:rPr>
          <w:rFonts w:ascii="宋体" w:hAnsi="宋体"/>
        </w:rPr>
      </w:pPr>
      <w:r>
        <w:rPr>
          <w:rFonts w:hint="eastAsia" w:ascii="宋体" w:hAnsi="宋体"/>
        </w:rPr>
        <w:t>4.甲方人员如违反阳光合作管理制度及本协议规定，甲方视情节轻重、影响大小给予行政及经济处罚。</w:t>
      </w:r>
    </w:p>
    <w:p w14:paraId="083275EE">
      <w:pPr>
        <w:spacing w:before="156" w:beforeLines="50" w:after="156" w:afterLines="50" w:line="360" w:lineRule="auto"/>
        <w:ind w:left="105" w:leftChars="50" w:firstLine="420" w:firstLineChars="200"/>
        <w:contextualSpacing/>
        <w:rPr>
          <w:rFonts w:ascii="宋体" w:hAnsi="宋体"/>
        </w:rPr>
      </w:pPr>
      <w:r>
        <w:rPr>
          <w:rFonts w:hint="eastAsia" w:ascii="宋体" w:hAnsi="宋体"/>
        </w:rPr>
        <w:t>5．对于乙方举报甲方人员违反阳光合作规定的情况，甲方应及时进行调查，根据调查情况进行处理，并将调查结果向乙方反馈。</w:t>
      </w:r>
    </w:p>
    <w:p w14:paraId="00244E47">
      <w:pPr>
        <w:spacing w:before="156" w:beforeLines="50" w:after="156" w:afterLines="50" w:line="360" w:lineRule="auto"/>
        <w:ind w:left="105" w:leftChars="50" w:firstLine="420" w:firstLineChars="200"/>
        <w:contextualSpacing/>
        <w:rPr>
          <w:rFonts w:ascii="宋体" w:hAnsi="宋体"/>
        </w:rPr>
      </w:pPr>
      <w:r>
        <w:rPr>
          <w:rFonts w:hint="eastAsia" w:ascii="宋体" w:hAnsi="宋体"/>
        </w:rPr>
        <w:t>6.接受举报的一方应为举报方保密，不得对举报方进行报复，对举报属实和严格遵守《阳光合作协议》的合作方，在同等条件下给予后续合作的优先权。</w:t>
      </w:r>
    </w:p>
    <w:p w14:paraId="24E739E3">
      <w:pPr>
        <w:spacing w:before="156" w:beforeLines="50" w:after="156" w:afterLines="50" w:line="360" w:lineRule="auto"/>
        <w:ind w:left="420" w:leftChars="200"/>
        <w:contextualSpacing/>
        <w:rPr>
          <w:rFonts w:ascii="宋体" w:hAnsi="宋体"/>
          <w:b/>
        </w:rPr>
      </w:pPr>
      <w:r>
        <w:rPr>
          <w:rFonts w:hint="eastAsia" w:ascii="宋体" w:hAnsi="宋体"/>
          <w:b/>
        </w:rPr>
        <w:t>二、乙方责任</w:t>
      </w:r>
    </w:p>
    <w:p w14:paraId="7EA2ECD5">
      <w:pPr>
        <w:spacing w:before="156" w:beforeLines="50" w:after="156" w:afterLines="50" w:line="360" w:lineRule="auto"/>
        <w:ind w:left="105" w:leftChars="50" w:firstLine="420" w:firstLineChars="200"/>
        <w:contextualSpacing/>
        <w:rPr>
          <w:rFonts w:ascii="宋体" w:hAnsi="宋体"/>
        </w:rPr>
      </w:pPr>
      <w:r>
        <w:rPr>
          <w:rFonts w:hint="eastAsia" w:ascii="宋体" w:hAnsi="宋体"/>
        </w:rPr>
        <w:t>1.乙方应保证乙方人员了解甲方有关采购管理通用原则和及本协议的规定，并遵照执行。</w:t>
      </w:r>
    </w:p>
    <w:p w14:paraId="1FA8905D">
      <w:pPr>
        <w:spacing w:before="156" w:beforeLines="50" w:after="156" w:afterLines="50" w:line="360" w:lineRule="auto"/>
        <w:ind w:left="105" w:leftChars="50" w:firstLine="420" w:firstLineChars="200"/>
        <w:contextualSpacing/>
        <w:rPr>
          <w:rFonts w:ascii="宋体" w:hAnsi="宋体"/>
        </w:rPr>
      </w:pPr>
      <w:r>
        <w:rPr>
          <w:rFonts w:hint="eastAsia" w:ascii="宋体" w:hAnsi="宋体"/>
        </w:rPr>
        <w:t>2.乙方不得以任何形式给予甲方人员回扣、赠送实物、现金、有价证券、礼券等有价物品或提供旅游等其他可能影响职务行为公正履行的活动（以下统称“财物”）。</w:t>
      </w:r>
    </w:p>
    <w:p w14:paraId="1F88E6F9">
      <w:pPr>
        <w:spacing w:before="156" w:beforeLines="50" w:after="156" w:afterLines="50" w:line="360" w:lineRule="auto"/>
        <w:ind w:left="105" w:leftChars="50" w:firstLine="420" w:firstLineChars="200"/>
        <w:contextualSpacing/>
        <w:rPr>
          <w:rFonts w:ascii="宋体" w:hAnsi="宋体"/>
        </w:rPr>
      </w:pPr>
      <w:r>
        <w:rPr>
          <w:rFonts w:hint="eastAsia" w:ascii="宋体" w:hAnsi="宋体"/>
        </w:rPr>
        <w:t>3.乙方有责任接受甲方对乙方在合作期间阳光合作管理执行情况的监督，并对甲方相关调查工作主动配合。</w:t>
      </w:r>
    </w:p>
    <w:p w14:paraId="6DE5DE9F">
      <w:pPr>
        <w:spacing w:before="156" w:beforeLines="50" w:after="156" w:afterLines="50" w:line="360" w:lineRule="auto"/>
        <w:ind w:left="105" w:leftChars="50" w:firstLine="420" w:firstLineChars="200"/>
        <w:contextualSpacing/>
        <w:rPr>
          <w:rFonts w:ascii="宋体" w:hAnsi="宋体"/>
        </w:rPr>
      </w:pPr>
      <w:r>
        <w:rPr>
          <w:rFonts w:hint="eastAsia" w:ascii="宋体" w:hAnsi="宋体"/>
        </w:rPr>
        <w:t>4.乙方有义务就甲方人员任何形式的索取或收受财物行为及时向甲方（直接联系人为东莞实业投资控股集团有限公司</w:t>
      </w:r>
      <w:r>
        <w:rPr>
          <w:rFonts w:hint="eastAsia" w:ascii="宋体" w:hAnsi="宋体"/>
          <w:lang w:eastAsia="zh-CN"/>
        </w:rPr>
        <w:t>风控法务部</w:t>
      </w:r>
      <w:r>
        <w:rPr>
          <w:rFonts w:hint="eastAsia" w:ascii="宋体" w:hAnsi="宋体"/>
        </w:rPr>
        <w:t>）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4C5CDF53">
      <w:pPr>
        <w:spacing w:before="156" w:beforeLines="50" w:after="156" w:afterLines="50" w:line="360" w:lineRule="auto"/>
        <w:ind w:left="105" w:leftChars="50" w:firstLine="420" w:firstLineChars="200"/>
        <w:contextualSpacing/>
        <w:rPr>
          <w:rFonts w:ascii="宋体" w:hAnsi="宋体"/>
        </w:rPr>
      </w:pPr>
      <w:r>
        <w:rPr>
          <w:rFonts w:hint="eastAsia" w:ascii="宋体" w:hAnsi="宋体"/>
        </w:rPr>
        <w:t xml:space="preserve">5．甲方接受乙方实名或匿名举报，保证为举报者的信息保密，常设举报部门及电话： </w:t>
      </w:r>
    </w:p>
    <w:p w14:paraId="1081DCE9">
      <w:pPr>
        <w:spacing w:before="156" w:beforeLines="50" w:after="156" w:afterLines="50" w:line="360" w:lineRule="auto"/>
        <w:ind w:left="105" w:leftChars="50" w:firstLine="420" w:firstLineChars="200"/>
        <w:contextualSpacing/>
        <w:rPr>
          <w:rFonts w:hint="eastAsia" w:ascii="宋体" w:hAnsi="宋体" w:eastAsiaTheme="minorEastAsia"/>
          <w:lang w:eastAsia="zh-CN"/>
        </w:rPr>
      </w:pPr>
      <w:r>
        <w:rPr>
          <w:rFonts w:hint="eastAsia" w:ascii="宋体" w:hAnsi="宋体"/>
        </w:rPr>
        <w:t>举报受理部门：东莞实业投资控股集团有限公司</w:t>
      </w:r>
      <w:r>
        <w:rPr>
          <w:rFonts w:hint="eastAsia" w:ascii="宋体" w:hAnsi="宋体"/>
          <w:lang w:eastAsia="zh-CN"/>
        </w:rPr>
        <w:t>风控法务部</w:t>
      </w:r>
    </w:p>
    <w:p w14:paraId="4F8B6EDE">
      <w:pPr>
        <w:spacing w:before="156" w:beforeLines="50" w:after="156" w:afterLines="50" w:line="360" w:lineRule="auto"/>
        <w:ind w:left="105" w:leftChars="50" w:firstLine="420" w:firstLineChars="200"/>
        <w:contextualSpacing/>
        <w:rPr>
          <w:rFonts w:ascii="宋体" w:hAnsi="宋体"/>
        </w:rPr>
      </w:pPr>
      <w:r>
        <w:rPr>
          <w:rFonts w:hint="eastAsia" w:ascii="宋体" w:hAnsi="宋体"/>
        </w:rPr>
        <w:t>东实集团举报邮箱：dgsyxf@163.com</w:t>
      </w:r>
    </w:p>
    <w:p w14:paraId="39B8DAC8">
      <w:pPr>
        <w:spacing w:before="156" w:beforeLines="50" w:after="156" w:afterLines="50" w:line="360" w:lineRule="auto"/>
        <w:ind w:left="105" w:leftChars="50" w:firstLine="420" w:firstLineChars="200"/>
        <w:contextualSpacing/>
        <w:rPr>
          <w:rFonts w:ascii="宋体" w:hAnsi="宋体"/>
        </w:rPr>
      </w:pPr>
      <w:r>
        <w:rPr>
          <w:rFonts w:hint="eastAsia" w:ascii="宋体" w:hAnsi="宋体"/>
        </w:rPr>
        <w:t>东实集团举报电话：0769-28820703（周一至周五9:00-12:00和14:00-18:00）</w:t>
      </w:r>
    </w:p>
    <w:p w14:paraId="71118806">
      <w:pPr>
        <w:spacing w:before="156" w:beforeLines="50" w:after="156" w:afterLines="50" w:line="360" w:lineRule="auto"/>
        <w:ind w:left="105" w:leftChars="50" w:firstLine="420" w:firstLineChars="200"/>
        <w:contextualSpacing/>
        <w:rPr>
          <w:rFonts w:ascii="宋体" w:hAnsi="宋体"/>
        </w:rPr>
      </w:pPr>
      <w:r>
        <w:rPr>
          <w:rFonts w:hint="eastAsia" w:ascii="宋体" w:hAnsi="宋体"/>
        </w:rPr>
        <w:t>邮寄地址：东莞市东城区八一路1号机关二号大院9号楼，东莞实业投资控股集团有限公司</w:t>
      </w:r>
      <w:r>
        <w:rPr>
          <w:rFonts w:hint="eastAsia" w:ascii="宋体" w:hAnsi="宋体"/>
          <w:lang w:eastAsia="zh-CN"/>
        </w:rPr>
        <w:t>风控法务部</w:t>
      </w:r>
      <w:r>
        <w:rPr>
          <w:rFonts w:hint="eastAsia" w:ascii="宋体" w:hAnsi="宋体"/>
        </w:rPr>
        <w:t>收，邮编523000。</w:t>
      </w:r>
    </w:p>
    <w:p w14:paraId="68C3A4D8">
      <w:pPr>
        <w:spacing w:before="156" w:beforeLines="50" w:after="156" w:afterLines="50" w:line="360" w:lineRule="auto"/>
        <w:ind w:left="420" w:leftChars="200"/>
        <w:contextualSpacing/>
        <w:rPr>
          <w:rFonts w:ascii="宋体" w:hAnsi="宋体"/>
          <w:b/>
        </w:rPr>
      </w:pPr>
      <w:r>
        <w:rPr>
          <w:rFonts w:hint="eastAsia" w:ascii="宋体" w:hAnsi="宋体"/>
          <w:b/>
        </w:rPr>
        <w:t>三、其他</w:t>
      </w:r>
    </w:p>
    <w:p w14:paraId="53608CB4">
      <w:pPr>
        <w:spacing w:before="156" w:beforeLines="50" w:after="156" w:afterLines="50" w:line="360" w:lineRule="auto"/>
        <w:ind w:left="105" w:leftChars="50" w:firstLine="420" w:firstLineChars="200"/>
        <w:contextualSpacing/>
        <w:rPr>
          <w:rFonts w:ascii="宋体" w:hAnsi="宋体"/>
        </w:rPr>
      </w:pPr>
      <w:r>
        <w:rPr>
          <w:rFonts w:hint="eastAsia" w:ascii="宋体" w:hAnsi="宋体"/>
        </w:rPr>
        <w:t>1.本协议是原合同的补充协议，与原合同有同等法律效力。</w:t>
      </w:r>
    </w:p>
    <w:p w14:paraId="6249DD1E">
      <w:pPr>
        <w:spacing w:before="156" w:beforeLines="50" w:after="156" w:afterLines="50" w:line="360" w:lineRule="auto"/>
        <w:ind w:left="105" w:leftChars="50" w:firstLine="420" w:firstLineChars="200"/>
        <w:contextualSpacing/>
        <w:rPr>
          <w:rFonts w:ascii="宋体" w:hAnsi="宋体"/>
        </w:rPr>
      </w:pPr>
      <w:r>
        <w:rPr>
          <w:rFonts w:hint="eastAsia" w:ascii="宋体" w:hAnsi="宋体"/>
        </w:rPr>
        <w:t>2.</w:t>
      </w:r>
      <w:r>
        <w:rPr>
          <w:rFonts w:ascii="宋体" w:hAnsi="宋体"/>
        </w:rPr>
        <w:t>本</w:t>
      </w:r>
      <w:r>
        <w:rPr>
          <w:rFonts w:hint="eastAsia" w:ascii="宋体" w:hAnsi="宋体"/>
        </w:rPr>
        <w:t>协议</w:t>
      </w:r>
      <w:r>
        <w:rPr>
          <w:rFonts w:ascii="宋体" w:hAnsi="宋体"/>
        </w:rPr>
        <w:t>一式</w:t>
      </w:r>
      <w:r>
        <w:rPr>
          <w:rFonts w:hint="eastAsia" w:ascii="宋体" w:hAnsi="宋体"/>
        </w:rPr>
        <w:t>四</w:t>
      </w:r>
      <w:r>
        <w:rPr>
          <w:rFonts w:ascii="宋体" w:hAnsi="宋体"/>
        </w:rPr>
        <w:t>份，甲方执</w:t>
      </w:r>
      <w:r>
        <w:rPr>
          <w:rFonts w:hint="eastAsia" w:ascii="宋体" w:hAnsi="宋体"/>
        </w:rPr>
        <w:t>贰</w:t>
      </w:r>
      <w:r>
        <w:rPr>
          <w:rFonts w:ascii="宋体" w:hAnsi="宋体"/>
        </w:rPr>
        <w:t>份，乙方执</w:t>
      </w:r>
      <w:r>
        <w:rPr>
          <w:rFonts w:hint="eastAsia" w:ascii="宋体" w:hAnsi="宋体"/>
        </w:rPr>
        <w:t>贰</w:t>
      </w:r>
      <w:r>
        <w:rPr>
          <w:rFonts w:ascii="宋体" w:hAnsi="宋体"/>
        </w:rPr>
        <w:t>份</w:t>
      </w:r>
      <w:r>
        <w:rPr>
          <w:rFonts w:hint="eastAsia" w:ascii="宋体" w:hAnsi="宋体"/>
        </w:rPr>
        <w:t>,具有同等法律效力。</w:t>
      </w:r>
    </w:p>
    <w:p w14:paraId="4F306B68">
      <w:pPr>
        <w:spacing w:before="156" w:beforeLines="50" w:after="156" w:afterLines="50" w:line="360" w:lineRule="auto"/>
        <w:ind w:left="105" w:leftChars="50" w:firstLine="420" w:firstLineChars="200"/>
        <w:contextualSpacing/>
        <w:rPr>
          <w:rFonts w:ascii="宋体" w:hAnsi="宋体"/>
        </w:rPr>
      </w:pPr>
      <w:r>
        <w:rPr>
          <w:rFonts w:hint="eastAsia" w:ascii="宋体" w:hAnsi="宋体"/>
        </w:rPr>
        <w:t>3.本协议经双方签署后生效。</w:t>
      </w:r>
    </w:p>
    <w:p w14:paraId="550AFDB9">
      <w:pPr>
        <w:spacing w:before="156" w:beforeLines="50" w:after="156" w:afterLines="50" w:line="360" w:lineRule="auto"/>
        <w:ind w:firstLine="420" w:firstLineChars="200"/>
        <w:contextualSpacing/>
        <w:rPr>
          <w:rFonts w:ascii="宋体" w:hAnsi="宋体"/>
        </w:rPr>
      </w:pPr>
    </w:p>
    <w:p w14:paraId="56F9B9E9">
      <w:pPr>
        <w:spacing w:before="156" w:beforeLines="50" w:after="156" w:afterLines="50" w:line="360" w:lineRule="auto"/>
        <w:ind w:firstLine="420" w:firstLineChars="200"/>
        <w:contextualSpacing/>
        <w:rPr>
          <w:rFonts w:ascii="宋体"/>
        </w:rPr>
      </w:pPr>
      <w:r>
        <w:rPr>
          <w:rFonts w:hint="eastAsia" w:ascii="宋体" w:hAnsi="宋体"/>
        </w:rPr>
        <w:t>甲方（盖章）：                      乙方（盖章）：</w:t>
      </w:r>
      <w:r>
        <w:rPr>
          <w:rFonts w:ascii="宋体"/>
        </w:rPr>
        <w:t xml:space="preserve"> </w:t>
      </w:r>
    </w:p>
    <w:p w14:paraId="4F15D795">
      <w:pPr>
        <w:spacing w:before="156" w:beforeLines="50" w:after="156" w:afterLines="50" w:line="360" w:lineRule="auto"/>
        <w:ind w:firstLine="420" w:firstLineChars="200"/>
        <w:contextualSpacing/>
        <w:rPr>
          <w:rFonts w:ascii="宋体" w:hAnsi="宋体"/>
        </w:rPr>
      </w:pPr>
    </w:p>
    <w:p w14:paraId="2AF0A312">
      <w:pPr>
        <w:spacing w:before="156" w:beforeLines="50" w:after="156" w:afterLines="50" w:line="360" w:lineRule="auto"/>
        <w:ind w:firstLine="420" w:firstLineChars="200"/>
        <w:contextualSpacing/>
        <w:rPr>
          <w:rFonts w:ascii="宋体"/>
        </w:rPr>
      </w:pPr>
      <w:r>
        <w:rPr>
          <w:rFonts w:hint="eastAsia" w:ascii="宋体" w:hAnsi="宋体"/>
        </w:rPr>
        <w:t>法定代表人（授权代表）：</w:t>
      </w:r>
      <w:r>
        <w:rPr>
          <w:rFonts w:hint="eastAsia" w:ascii="宋体" w:hAnsi="宋体"/>
          <w:lang w:val="en-US" w:eastAsia="zh-CN"/>
        </w:rPr>
        <w:t xml:space="preserve">            </w:t>
      </w:r>
      <w:r>
        <w:rPr>
          <w:rFonts w:hint="eastAsia" w:ascii="宋体" w:hAnsi="宋体"/>
        </w:rPr>
        <w:t>法定代表人（授权代表）：</w:t>
      </w:r>
    </w:p>
    <w:p w14:paraId="7BFA0E4F">
      <w:pPr>
        <w:spacing w:before="156" w:beforeLines="50" w:after="156" w:afterLines="50" w:line="360" w:lineRule="auto"/>
        <w:ind w:firstLine="420" w:firstLineChars="200"/>
        <w:contextualSpacing/>
        <w:rPr>
          <w:rFonts w:ascii="宋体" w:hAnsi="宋体"/>
        </w:rPr>
      </w:pPr>
    </w:p>
    <w:p w14:paraId="74171330">
      <w:pPr>
        <w:spacing w:before="156" w:beforeLines="50" w:after="156" w:afterLines="50" w:line="360" w:lineRule="auto"/>
        <w:ind w:firstLine="420" w:firstLineChars="200"/>
        <w:contextualSpacing/>
        <w:rPr>
          <w:rFonts w:hint="eastAsia" w:ascii="宋体" w:hAnsi="宋体"/>
        </w:rPr>
      </w:pPr>
      <w:r>
        <w:rPr>
          <w:rFonts w:hint="eastAsia" w:ascii="宋体" w:hAnsi="宋体"/>
        </w:rPr>
        <w:t>签约日期：   年   月   日</w:t>
      </w:r>
      <w:r>
        <w:rPr>
          <w:rFonts w:hint="eastAsia"/>
          <w:lang w:val="en-US" w:eastAsia="zh-CN"/>
        </w:rPr>
        <w:t xml:space="preserve">     </w:t>
      </w:r>
      <w:r>
        <w:t xml:space="preserve">    </w:t>
      </w:r>
      <w:r>
        <w:rPr>
          <w:rFonts w:hint="eastAsia"/>
        </w:rPr>
        <w:t xml:space="preserve">  </w:t>
      </w:r>
      <w:r>
        <w:rPr>
          <w:rFonts w:hint="eastAsia" w:ascii="宋体" w:hAnsi="宋体"/>
        </w:rPr>
        <w:t>签约日期：   年   月   日</w:t>
      </w:r>
    </w:p>
    <w:p w14:paraId="70C84275">
      <w:pPr>
        <w:spacing w:before="156" w:beforeLines="50" w:after="156" w:afterLines="50" w:line="360" w:lineRule="auto"/>
        <w:ind w:firstLine="420" w:firstLineChars="200"/>
        <w:contextualSpacing/>
        <w:rPr>
          <w:rFonts w:hint="eastAsia" w:ascii="宋体" w:hAnsi="宋体"/>
        </w:rPr>
      </w:pPr>
    </w:p>
    <w:p w14:paraId="14AA92B8">
      <w:pPr>
        <w:ind w:firstLine="0" w:firstLineChars="0"/>
        <w:outlineLvl w:val="9"/>
        <w:rPr>
          <w:rFonts w:hint="eastAsia" w:asciiTheme="minorEastAsia" w:hAnsiTheme="minorEastAsia" w:cstheme="minorEastAsia"/>
          <w:b/>
          <w:color w:val="auto"/>
          <w:sz w:val="21"/>
          <w:szCs w:val="21"/>
          <w:highlight w:val="none"/>
        </w:rPr>
      </w:pPr>
      <w:r>
        <w:rPr>
          <w:rFonts w:hint="eastAsia" w:asciiTheme="minorEastAsia" w:hAnsiTheme="minorEastAsia" w:cstheme="minorEastAsia"/>
          <w:b/>
          <w:color w:val="auto"/>
          <w:sz w:val="21"/>
          <w:szCs w:val="21"/>
          <w:highlight w:val="none"/>
        </w:rPr>
        <w:br w:type="page"/>
      </w:r>
    </w:p>
    <w:p w14:paraId="6C1D2977">
      <w:pPr>
        <w:spacing w:line="480" w:lineRule="exact"/>
        <w:ind w:firstLine="0" w:firstLineChars="0"/>
        <w:outlineLvl w:val="9"/>
        <w:rPr>
          <w:rFonts w:hint="eastAsia" w:ascii="仿宋" w:hAnsi="仿宋" w:eastAsia="仿宋" w:cstheme="minorBidi"/>
          <w:b/>
          <w:color w:val="000000"/>
          <w:sz w:val="24"/>
          <w:szCs w:val="24"/>
          <w:lang w:val="en-US" w:eastAsia="zh-CN"/>
        </w:rPr>
      </w:pPr>
      <w:r>
        <w:rPr>
          <w:rFonts w:hint="eastAsia" w:ascii="仿宋" w:hAnsi="仿宋" w:eastAsia="仿宋" w:cstheme="minorBidi"/>
          <w:b/>
          <w:color w:val="000000"/>
          <w:sz w:val="24"/>
          <w:szCs w:val="24"/>
        </w:rPr>
        <w:t>附件</w:t>
      </w:r>
      <w:r>
        <w:rPr>
          <w:rFonts w:hint="eastAsia" w:ascii="仿宋" w:hAnsi="仿宋" w:eastAsia="仿宋" w:cstheme="minorBidi"/>
          <w:b/>
          <w:color w:val="000000"/>
          <w:sz w:val="24"/>
          <w:szCs w:val="24"/>
          <w:lang w:val="en-US" w:eastAsia="zh-CN"/>
        </w:rPr>
        <w:t>3</w:t>
      </w:r>
      <w:r>
        <w:rPr>
          <w:rFonts w:hint="eastAsia" w:ascii="仿宋" w:hAnsi="仿宋" w:eastAsia="仿宋" w:cstheme="minorBidi"/>
          <w:b/>
          <w:color w:val="000000"/>
          <w:sz w:val="24"/>
          <w:szCs w:val="24"/>
        </w:rPr>
        <w:t>：</w:t>
      </w:r>
      <w:r>
        <w:rPr>
          <w:rFonts w:hint="eastAsia" w:ascii="仿宋" w:hAnsi="仿宋" w:eastAsia="仿宋" w:cstheme="minorBidi"/>
          <w:b/>
          <w:color w:val="000000"/>
          <w:sz w:val="24"/>
          <w:szCs w:val="24"/>
          <w:lang w:eastAsia="zh-CN"/>
        </w:rPr>
        <w:t>《</w:t>
      </w:r>
      <w:r>
        <w:rPr>
          <w:rFonts w:hint="eastAsia" w:ascii="仿宋" w:hAnsi="仿宋" w:eastAsia="仿宋" w:cstheme="minorBidi"/>
          <w:b/>
          <w:color w:val="000000"/>
          <w:sz w:val="24"/>
          <w:szCs w:val="24"/>
        </w:rPr>
        <w:t>技术需求书</w:t>
      </w:r>
      <w:r>
        <w:rPr>
          <w:rFonts w:hint="eastAsia" w:ascii="仿宋" w:hAnsi="仿宋" w:eastAsia="仿宋" w:cstheme="minorBidi"/>
          <w:b/>
          <w:color w:val="000000"/>
          <w:sz w:val="24"/>
          <w:szCs w:val="24"/>
          <w:lang w:eastAsia="zh-CN"/>
        </w:rPr>
        <w:t>》</w:t>
      </w:r>
    </w:p>
    <w:p w14:paraId="36C598D7">
      <w:pPr>
        <w:spacing w:before="156" w:beforeLines="50" w:after="156" w:afterLines="50" w:line="360" w:lineRule="auto"/>
        <w:ind w:firstLine="422" w:firstLineChars="200"/>
        <w:contextualSpacing/>
        <w:jc w:val="center"/>
        <w:rPr>
          <w:rFonts w:hint="eastAsia" w:asciiTheme="minorEastAsia" w:hAnsiTheme="minorEastAsia" w:cstheme="minorEastAsia"/>
          <w:b/>
          <w:color w:val="auto"/>
          <w:sz w:val="21"/>
          <w:szCs w:val="21"/>
          <w:highlight w:val="none"/>
          <w:lang w:val="en-US" w:eastAsia="zh-CN"/>
        </w:rPr>
      </w:pPr>
    </w:p>
    <w:p w14:paraId="0B42BD4E">
      <w:pPr>
        <w:spacing w:before="156" w:beforeLines="50" w:after="156" w:afterLines="50" w:line="360" w:lineRule="auto"/>
        <w:ind w:firstLine="422" w:firstLineChars="200"/>
        <w:contextualSpacing/>
        <w:jc w:val="center"/>
        <w:rPr>
          <w:rFonts w:hint="eastAsia" w:asciiTheme="minorEastAsia" w:hAnsiTheme="minorEastAsia" w:cstheme="minorEastAsia"/>
        </w:rPr>
      </w:pPr>
      <w:r>
        <w:rPr>
          <w:rFonts w:hint="eastAsia" w:asciiTheme="minorEastAsia" w:hAnsiTheme="minorEastAsia" w:cstheme="minorEastAsia"/>
          <w:b/>
          <w:color w:val="auto"/>
          <w:sz w:val="21"/>
          <w:szCs w:val="21"/>
          <w:highlight w:val="none"/>
          <w:lang w:val="en-US" w:eastAsia="zh-CN"/>
        </w:rPr>
        <w:t>（详见采购文件第二章：技术需求书）</w:t>
      </w:r>
    </w:p>
    <w:p w14:paraId="5554C208">
      <w:pPr>
        <w:spacing w:before="156" w:beforeLines="50" w:after="156" w:afterLines="50" w:line="360" w:lineRule="auto"/>
        <w:ind w:firstLine="420" w:firstLineChars="200"/>
        <w:contextualSpacing/>
        <w:rPr>
          <w:rFonts w:hint="eastAsia" w:ascii="宋体" w:hAnsi="宋体"/>
          <w:lang w:val="en-US" w:eastAsia="zh-CN"/>
        </w:rPr>
      </w:pPr>
      <w:bookmarkStart w:id="186" w:name="_Toc23577"/>
      <w:bookmarkStart w:id="187" w:name="_Toc9734"/>
    </w:p>
    <w:p w14:paraId="5FCC257D">
      <w:pPr>
        <w:spacing w:before="0" w:beforeLines="-2147483648" w:after="0" w:afterLines="-2147483648" w:line="240" w:lineRule="auto"/>
        <w:ind w:firstLine="0" w:firstLineChars="0"/>
        <w:contextualSpacing w:val="0"/>
        <w:rPr>
          <w:rFonts w:hint="eastAsia" w:ascii="宋体" w:hAnsi="宋体"/>
          <w:lang w:val="en-US" w:eastAsia="zh-CN"/>
        </w:rPr>
      </w:pPr>
      <w:r>
        <w:rPr>
          <w:rFonts w:hint="eastAsia" w:ascii="宋体" w:hAnsi="宋体"/>
          <w:lang w:val="en-US" w:eastAsia="zh-CN"/>
        </w:rPr>
        <w:br w:type="page"/>
      </w:r>
    </w:p>
    <w:p w14:paraId="4D3D05B1">
      <w:pPr>
        <w:spacing w:before="0" w:beforeLines="-2147483648" w:after="0" w:afterLines="-2147483648" w:line="480" w:lineRule="exact"/>
        <w:ind w:firstLine="0" w:firstLineChars="0"/>
        <w:contextualSpacing w:val="0"/>
        <w:outlineLvl w:val="9"/>
        <w:rPr>
          <w:rFonts w:hint="eastAsia" w:ascii="仿宋" w:hAnsi="仿宋" w:eastAsia="仿宋" w:cstheme="minorBidi"/>
          <w:b/>
          <w:color w:val="000000"/>
          <w:sz w:val="24"/>
          <w:szCs w:val="24"/>
          <w:lang w:val="en-US" w:eastAsia="zh-CN"/>
        </w:rPr>
      </w:pPr>
      <w:r>
        <w:rPr>
          <w:rFonts w:hint="eastAsia" w:ascii="仿宋" w:hAnsi="仿宋" w:eastAsia="仿宋" w:cstheme="minorBidi"/>
          <w:b/>
          <w:color w:val="000000"/>
          <w:sz w:val="24"/>
          <w:szCs w:val="24"/>
          <w:lang w:val="en-US" w:eastAsia="zh-CN"/>
        </w:rPr>
        <w:t>合同附件4：安全管理协议书</w:t>
      </w:r>
      <w:bookmarkEnd w:id="186"/>
      <w:bookmarkEnd w:id="187"/>
    </w:p>
    <w:p w14:paraId="4333E48D">
      <w:pPr>
        <w:spacing w:before="156" w:beforeLines="50" w:after="156" w:afterLines="50" w:line="360" w:lineRule="auto"/>
        <w:ind w:firstLine="420" w:firstLineChars="200"/>
        <w:contextualSpacing/>
        <w:rPr>
          <w:rFonts w:hint="eastAsia" w:ascii="宋体" w:hAnsi="宋体"/>
        </w:rPr>
      </w:pPr>
    </w:p>
    <w:p w14:paraId="52D5519D">
      <w:pPr>
        <w:spacing w:before="156" w:beforeLines="50" w:after="156" w:afterLines="50" w:line="360" w:lineRule="auto"/>
        <w:ind w:firstLine="420" w:firstLineChars="200"/>
        <w:contextualSpacing/>
        <w:rPr>
          <w:rFonts w:hint="eastAsia" w:ascii="宋体" w:hAnsi="宋体"/>
        </w:rPr>
      </w:pPr>
    </w:p>
    <w:p w14:paraId="31150731">
      <w:pPr>
        <w:spacing w:before="156" w:beforeLines="50" w:after="156" w:afterLines="50" w:line="360" w:lineRule="auto"/>
        <w:ind w:firstLine="420" w:firstLineChars="200"/>
        <w:contextualSpacing/>
        <w:rPr>
          <w:rFonts w:hint="eastAsia" w:ascii="宋体" w:hAnsi="宋体"/>
        </w:rPr>
      </w:pPr>
    </w:p>
    <w:p w14:paraId="6A06D5B9">
      <w:pPr>
        <w:spacing w:before="156" w:beforeLines="50" w:after="156" w:afterLines="50" w:line="360" w:lineRule="auto"/>
        <w:ind w:firstLine="420" w:firstLineChars="200"/>
        <w:contextualSpacing/>
        <w:rPr>
          <w:rFonts w:hint="eastAsia" w:ascii="宋体" w:hAnsi="宋体"/>
        </w:rPr>
      </w:pPr>
    </w:p>
    <w:p w14:paraId="6EE7044F">
      <w:pPr>
        <w:spacing w:before="156" w:beforeLines="50" w:after="156" w:afterLines="50" w:line="360" w:lineRule="auto"/>
        <w:ind w:firstLine="420" w:firstLineChars="200"/>
        <w:contextualSpacing/>
        <w:rPr>
          <w:rFonts w:hint="eastAsia" w:ascii="宋体" w:hAnsi="宋体"/>
        </w:rPr>
      </w:pPr>
    </w:p>
    <w:p w14:paraId="7A5CCC86">
      <w:pPr>
        <w:numPr>
          <w:ilvl w:val="12"/>
          <w:numId w:val="0"/>
        </w:numPr>
        <w:jc w:val="center"/>
        <w:rPr>
          <w:rFonts w:hint="default" w:ascii="Times New Roman" w:hAnsi="Times New Roman" w:eastAsia="宋体" w:cs="Times New Roman"/>
          <w:b/>
          <w:bCs/>
          <w:color w:val="auto"/>
          <w:sz w:val="72"/>
          <w:szCs w:val="52"/>
          <w:highlight w:val="none"/>
        </w:rPr>
      </w:pPr>
      <w:r>
        <w:rPr>
          <w:rFonts w:hint="default" w:ascii="Times New Roman" w:hAnsi="Times New Roman" w:eastAsia="宋体" w:cs="Times New Roman"/>
          <w:b/>
          <w:bCs/>
          <w:color w:val="auto"/>
          <w:sz w:val="72"/>
          <w:szCs w:val="52"/>
          <w:highlight w:val="none"/>
        </w:rPr>
        <w:t>安全管理协议书</w:t>
      </w:r>
    </w:p>
    <w:p w14:paraId="43D816E5">
      <w:pPr>
        <w:spacing w:before="156" w:beforeLines="50" w:after="156" w:afterLines="50" w:line="360" w:lineRule="auto"/>
        <w:ind w:firstLine="420" w:firstLineChars="200"/>
        <w:contextualSpacing/>
        <w:rPr>
          <w:rFonts w:hint="eastAsia" w:ascii="宋体" w:hAnsi="宋体"/>
        </w:rPr>
      </w:pPr>
    </w:p>
    <w:p w14:paraId="3800DC63">
      <w:pPr>
        <w:spacing w:before="156" w:beforeLines="50" w:after="156" w:afterLines="50" w:line="360" w:lineRule="auto"/>
        <w:ind w:firstLine="420" w:firstLineChars="200"/>
        <w:contextualSpacing/>
        <w:rPr>
          <w:rFonts w:hint="eastAsia" w:ascii="宋体" w:hAnsi="宋体"/>
        </w:rPr>
      </w:pPr>
    </w:p>
    <w:p w14:paraId="2A4CD72F">
      <w:pPr>
        <w:spacing w:before="156" w:beforeLines="50" w:after="156" w:afterLines="50" w:line="360" w:lineRule="auto"/>
        <w:ind w:firstLine="420" w:firstLineChars="200"/>
        <w:contextualSpacing/>
        <w:rPr>
          <w:rFonts w:hint="eastAsia" w:ascii="宋体" w:hAnsi="宋体"/>
        </w:rPr>
      </w:pPr>
    </w:p>
    <w:p w14:paraId="42909709">
      <w:pPr>
        <w:spacing w:before="156" w:beforeLines="50" w:after="156" w:afterLines="50" w:line="360" w:lineRule="auto"/>
        <w:ind w:firstLine="420" w:firstLineChars="200"/>
        <w:contextualSpacing/>
        <w:rPr>
          <w:rFonts w:hint="eastAsia" w:ascii="宋体" w:hAnsi="宋体"/>
        </w:rPr>
      </w:pPr>
    </w:p>
    <w:p w14:paraId="4BEA4A28">
      <w:pPr>
        <w:numPr>
          <w:ilvl w:val="12"/>
          <w:numId w:val="0"/>
        </w:numPr>
        <w:jc w:val="center"/>
        <w:rPr>
          <w:rFonts w:hint="default" w:ascii="Times New Roman" w:hAnsi="Times New Roman" w:eastAsia="宋体" w:cs="Times New Roman"/>
          <w:color w:val="auto"/>
          <w:sz w:val="40"/>
          <w:szCs w:val="32"/>
          <w:highlight w:val="none"/>
        </w:rPr>
      </w:pPr>
      <w:r>
        <w:rPr>
          <w:rFonts w:hint="eastAsia" w:ascii="Times New Roman" w:hAnsi="Times New Roman" w:eastAsia="宋体" w:cs="Times New Roman"/>
          <w:color w:val="auto"/>
          <w:sz w:val="40"/>
          <w:szCs w:val="32"/>
          <w:highlight w:val="none"/>
          <w:lang w:val="en-US" w:eastAsia="zh-CN"/>
        </w:rPr>
        <w:t>广东东实环境股份</w:t>
      </w:r>
      <w:r>
        <w:rPr>
          <w:rFonts w:hint="default" w:ascii="Times New Roman" w:hAnsi="Times New Roman" w:eastAsia="宋体" w:cs="Times New Roman"/>
          <w:color w:val="auto"/>
          <w:sz w:val="40"/>
          <w:szCs w:val="32"/>
          <w:highlight w:val="none"/>
        </w:rPr>
        <w:t>有限公司编制</w:t>
      </w:r>
    </w:p>
    <w:p w14:paraId="73CA9FA6">
      <w:pPr>
        <w:spacing w:before="156" w:beforeLines="50" w:after="156" w:afterLines="50" w:line="360" w:lineRule="auto"/>
        <w:ind w:firstLine="420" w:firstLineChars="200"/>
        <w:contextualSpacing/>
        <w:rPr>
          <w:rFonts w:hint="eastAsia" w:ascii="宋体" w:hAnsi="宋体"/>
        </w:rPr>
      </w:pPr>
    </w:p>
    <w:p w14:paraId="0D47D191">
      <w:pPr>
        <w:spacing w:before="156" w:beforeLines="50" w:after="156" w:afterLines="50" w:line="360" w:lineRule="auto"/>
        <w:ind w:firstLine="420" w:firstLineChars="200"/>
        <w:contextualSpacing/>
        <w:rPr>
          <w:rFonts w:hint="eastAsia" w:ascii="宋体" w:hAnsi="宋体"/>
        </w:rPr>
      </w:pPr>
    </w:p>
    <w:p w14:paraId="0672C19C">
      <w:pPr>
        <w:spacing w:before="156" w:beforeLines="50" w:after="156" w:afterLines="50" w:line="360" w:lineRule="auto"/>
        <w:ind w:firstLine="420" w:firstLineChars="200"/>
        <w:contextualSpacing/>
        <w:rPr>
          <w:rFonts w:hint="eastAsia" w:ascii="宋体" w:hAnsi="宋体"/>
        </w:rPr>
      </w:pPr>
    </w:p>
    <w:p w14:paraId="60DC74E1">
      <w:pPr>
        <w:spacing w:before="156" w:beforeLines="50" w:after="156" w:afterLines="50" w:line="360" w:lineRule="auto"/>
        <w:ind w:firstLine="420" w:firstLineChars="200"/>
        <w:contextualSpacing/>
        <w:rPr>
          <w:rFonts w:hint="eastAsia" w:ascii="宋体" w:hAnsi="宋体"/>
        </w:rPr>
      </w:pPr>
    </w:p>
    <w:p w14:paraId="6792E597">
      <w:pPr>
        <w:spacing w:before="156" w:beforeLines="50" w:after="156" w:afterLines="50" w:line="360" w:lineRule="auto"/>
        <w:ind w:firstLine="420" w:firstLineChars="200"/>
        <w:contextualSpacing/>
        <w:rPr>
          <w:rFonts w:hint="eastAsia" w:ascii="宋体" w:hAnsi="宋体"/>
        </w:rPr>
      </w:pPr>
    </w:p>
    <w:p w14:paraId="0178DD7E">
      <w:pPr>
        <w:spacing w:before="156" w:beforeLines="50" w:after="156" w:afterLines="50" w:line="360" w:lineRule="auto"/>
        <w:ind w:firstLine="420" w:firstLineChars="200"/>
        <w:contextualSpacing/>
        <w:rPr>
          <w:rFonts w:hint="eastAsia" w:ascii="宋体" w:hAnsi="宋体"/>
        </w:rPr>
      </w:pPr>
    </w:p>
    <w:p w14:paraId="7FED2F4F">
      <w:pPr>
        <w:spacing w:before="156" w:beforeLines="50" w:after="156" w:afterLines="50" w:line="360" w:lineRule="auto"/>
        <w:ind w:firstLine="420" w:firstLineChars="200"/>
        <w:contextualSpacing/>
        <w:rPr>
          <w:rFonts w:hint="eastAsia" w:ascii="宋体" w:hAnsi="宋体"/>
        </w:rPr>
      </w:pPr>
    </w:p>
    <w:p w14:paraId="7AA2505B">
      <w:pPr>
        <w:spacing w:before="156" w:beforeLines="50" w:after="156" w:afterLines="50" w:line="360" w:lineRule="auto"/>
        <w:ind w:firstLine="420" w:firstLineChars="200"/>
        <w:contextualSpacing/>
        <w:rPr>
          <w:rFonts w:hint="eastAsia" w:ascii="宋体" w:hAnsi="宋体"/>
        </w:rPr>
      </w:pPr>
    </w:p>
    <w:p w14:paraId="27E1FB29">
      <w:pPr>
        <w:spacing w:before="156" w:beforeLines="50" w:after="156" w:afterLines="50" w:line="360" w:lineRule="auto"/>
        <w:ind w:firstLine="420" w:firstLineChars="200"/>
        <w:contextualSpacing/>
        <w:rPr>
          <w:rFonts w:hint="eastAsia" w:ascii="宋体" w:hAnsi="宋体"/>
        </w:rPr>
      </w:pPr>
    </w:p>
    <w:p w14:paraId="1E156C5F">
      <w:pPr>
        <w:spacing w:before="156" w:beforeLines="50" w:after="156" w:afterLines="50" w:line="360" w:lineRule="auto"/>
        <w:ind w:firstLine="420" w:firstLineChars="200"/>
        <w:contextualSpacing/>
        <w:rPr>
          <w:rFonts w:hint="eastAsia" w:ascii="宋体" w:hAnsi="宋体"/>
        </w:rPr>
      </w:pPr>
    </w:p>
    <w:p w14:paraId="3FAF5195">
      <w:pPr>
        <w:numPr>
          <w:ilvl w:val="12"/>
          <w:numId w:val="0"/>
        </w:numPr>
        <w:spacing w:before="319" w:beforeLines="100"/>
        <w:jc w:val="center"/>
        <w:rPr>
          <w:rFonts w:hint="default" w:ascii="Times New Roman" w:hAnsi="Times New Roman" w:eastAsia="宋体" w:cs="Times New Roman"/>
          <w:b w:val="0"/>
          <w:bCs/>
          <w:color w:val="auto"/>
          <w:sz w:val="28"/>
          <w:szCs w:val="36"/>
          <w:highlight w:val="none"/>
        </w:rPr>
      </w:pPr>
      <w:r>
        <w:rPr>
          <w:rFonts w:hint="default" w:ascii="Times New Roman" w:hAnsi="Times New Roman" w:eastAsia="宋体" w:cs="Times New Roman"/>
          <w:b w:val="0"/>
          <w:bCs/>
          <w:color w:val="auto"/>
          <w:sz w:val="28"/>
          <w:szCs w:val="36"/>
          <w:highlight w:val="none"/>
        </w:rPr>
        <w:t>20</w:t>
      </w:r>
      <w:r>
        <w:rPr>
          <w:rFonts w:hint="eastAsia" w:ascii="Times New Roman" w:hAnsi="Times New Roman" w:cs="Times New Roman"/>
          <w:b w:val="0"/>
          <w:bCs/>
          <w:color w:val="auto"/>
          <w:sz w:val="28"/>
          <w:szCs w:val="36"/>
          <w:highlight w:val="none"/>
          <w:lang w:val="en-US" w:eastAsia="zh-CN"/>
        </w:rPr>
        <w:t>26</w:t>
      </w:r>
      <w:r>
        <w:rPr>
          <w:rFonts w:hint="default" w:ascii="Times New Roman" w:hAnsi="Times New Roman" w:cs="Times New Roman"/>
          <w:b w:val="0"/>
          <w:bCs/>
          <w:color w:val="auto"/>
          <w:sz w:val="28"/>
          <w:szCs w:val="36"/>
          <w:highlight w:val="none"/>
          <w:lang w:val="en-US" w:eastAsia="zh-CN"/>
        </w:rPr>
        <w:t>年</w:t>
      </w:r>
      <w:r>
        <w:rPr>
          <w:rFonts w:hint="eastAsia" w:ascii="Times New Roman" w:hAnsi="Times New Roman" w:cs="Times New Roman"/>
          <w:b w:val="0"/>
          <w:bCs/>
          <w:color w:val="auto"/>
          <w:sz w:val="28"/>
          <w:szCs w:val="36"/>
          <w:highlight w:val="none"/>
          <w:lang w:val="en-US" w:eastAsia="zh-CN"/>
        </w:rPr>
        <w:t xml:space="preserve">  </w:t>
      </w:r>
      <w:r>
        <w:rPr>
          <w:rFonts w:hint="default" w:ascii="Times New Roman" w:hAnsi="Times New Roman" w:cs="Times New Roman"/>
          <w:b w:val="0"/>
          <w:bCs/>
          <w:color w:val="auto"/>
          <w:sz w:val="28"/>
          <w:szCs w:val="36"/>
          <w:highlight w:val="none"/>
          <w:lang w:val="en-US" w:eastAsia="zh-CN"/>
        </w:rPr>
        <w:t>月</w:t>
      </w:r>
    </w:p>
    <w:p w14:paraId="4FBCE2C7">
      <w:pPr>
        <w:spacing w:before="156" w:beforeLines="50" w:after="156" w:afterLines="50" w:line="360" w:lineRule="auto"/>
        <w:ind w:firstLine="420" w:firstLineChars="200"/>
        <w:contextualSpacing/>
        <w:rPr>
          <w:rFonts w:hint="eastAsia" w:ascii="宋体" w:hAnsi="宋体"/>
        </w:rPr>
      </w:pPr>
      <w:r>
        <w:rPr>
          <w:rFonts w:hint="eastAsia" w:ascii="宋体" w:hAnsi="宋体"/>
        </w:rPr>
        <w:br w:type="page"/>
      </w:r>
    </w:p>
    <w:p w14:paraId="10891E58">
      <w:pPr>
        <w:spacing w:before="156" w:beforeLines="50" w:after="156" w:afterLines="50" w:line="360" w:lineRule="auto"/>
        <w:ind w:firstLine="420" w:firstLineChars="200"/>
        <w:contextualSpacing/>
        <w:rPr>
          <w:rFonts w:hint="eastAsia" w:ascii="宋体" w:hAnsi="宋体"/>
        </w:rPr>
      </w:pPr>
      <w:r>
        <w:rPr>
          <w:rFonts w:hint="eastAsia" w:ascii="宋体" w:hAnsi="宋体"/>
        </w:rPr>
        <w:t>甲方：</w:t>
      </w:r>
      <w:r>
        <w:rPr>
          <w:rFonts w:hint="eastAsia" w:ascii="宋体" w:hAnsi="宋体"/>
          <w:lang w:val="en-US" w:eastAsia="zh-CN"/>
        </w:rPr>
        <w:t>广东东实环境股份</w:t>
      </w:r>
      <w:r>
        <w:rPr>
          <w:rFonts w:hint="eastAsia" w:ascii="宋体" w:hAnsi="宋体"/>
        </w:rPr>
        <w:t>有限公司</w:t>
      </w:r>
    </w:p>
    <w:p w14:paraId="3677C3AD">
      <w:pPr>
        <w:spacing w:before="156" w:beforeLines="50" w:after="156" w:afterLines="50" w:line="360" w:lineRule="auto"/>
        <w:ind w:firstLine="420" w:firstLineChars="200"/>
        <w:contextualSpacing/>
        <w:rPr>
          <w:rFonts w:hint="eastAsia" w:ascii="宋体" w:hAnsi="宋体"/>
        </w:rPr>
      </w:pPr>
      <w:r>
        <w:rPr>
          <w:rFonts w:hint="eastAsia" w:ascii="宋体" w:hAnsi="宋体"/>
        </w:rPr>
        <w:t>地址</w:t>
      </w:r>
      <w:r>
        <w:rPr>
          <w:rFonts w:hint="eastAsia" w:ascii="宋体" w:hAnsi="宋体"/>
          <w:lang w:eastAsia="zh-CN"/>
        </w:rPr>
        <w:t>：</w:t>
      </w:r>
      <w:r>
        <w:rPr>
          <w:rFonts w:hint="eastAsia" w:ascii="宋体" w:hAnsi="宋体"/>
        </w:rPr>
        <w:t>东莞市麻涌镇大步村海心沙岛</w:t>
      </w:r>
    </w:p>
    <w:p w14:paraId="59AE0300">
      <w:pPr>
        <w:spacing w:before="156" w:beforeLines="50" w:after="156" w:afterLines="50" w:line="360" w:lineRule="auto"/>
        <w:ind w:firstLine="420" w:firstLineChars="200"/>
        <w:contextualSpacing/>
        <w:rPr>
          <w:rFonts w:hint="eastAsia" w:ascii="宋体" w:hAnsi="宋体"/>
        </w:rPr>
      </w:pPr>
      <w:r>
        <w:rPr>
          <w:rFonts w:hint="eastAsia" w:ascii="宋体" w:hAnsi="宋体"/>
        </w:rPr>
        <w:t xml:space="preserve">联络人：  </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lang w:eastAsia="zh-CN"/>
        </w:rPr>
        <w:t>；</w:t>
      </w:r>
      <w:r>
        <w:rPr>
          <w:rFonts w:hint="eastAsia" w:ascii="宋体" w:hAnsi="宋体"/>
        </w:rPr>
        <w:t xml:space="preserve">电话：         </w:t>
      </w:r>
    </w:p>
    <w:p w14:paraId="47942D25">
      <w:pPr>
        <w:spacing w:before="156" w:beforeLines="50" w:after="156" w:afterLines="50" w:line="360" w:lineRule="auto"/>
        <w:ind w:firstLine="420" w:firstLineChars="200"/>
        <w:contextualSpacing/>
        <w:rPr>
          <w:rFonts w:hint="eastAsia" w:ascii="宋体" w:hAnsi="宋体"/>
        </w:rPr>
      </w:pPr>
    </w:p>
    <w:p w14:paraId="7B684F8C">
      <w:pPr>
        <w:spacing w:before="156" w:beforeLines="50" w:after="156" w:afterLines="50" w:line="360" w:lineRule="auto"/>
        <w:ind w:firstLine="420" w:firstLineChars="200"/>
        <w:contextualSpacing/>
        <w:rPr>
          <w:rFonts w:hint="eastAsia" w:ascii="宋体" w:hAnsi="宋体"/>
        </w:rPr>
      </w:pPr>
      <w:r>
        <w:rPr>
          <w:rFonts w:hint="eastAsia" w:ascii="宋体" w:hAnsi="宋体"/>
        </w:rPr>
        <w:t>乙方：</w:t>
      </w:r>
      <w:r>
        <w:rPr>
          <w:rFonts w:hint="eastAsia" w:ascii="宋体" w:hAnsi="宋体"/>
          <w:lang w:val="en-US" w:eastAsia="zh-CN"/>
        </w:rPr>
        <w:t xml:space="preserve">                      </w:t>
      </w:r>
      <w:r>
        <w:rPr>
          <w:rFonts w:hint="eastAsia" w:ascii="宋体" w:hAnsi="宋体"/>
        </w:rPr>
        <w:t xml:space="preserve">         </w:t>
      </w:r>
    </w:p>
    <w:p w14:paraId="265EFFF6">
      <w:pPr>
        <w:spacing w:before="156" w:beforeLines="50" w:after="156" w:afterLines="50" w:line="360" w:lineRule="auto"/>
        <w:ind w:firstLine="420" w:firstLineChars="200"/>
        <w:contextualSpacing/>
        <w:rPr>
          <w:rFonts w:hint="eastAsia" w:ascii="宋体" w:hAnsi="宋体"/>
        </w:rPr>
      </w:pPr>
      <w:r>
        <w:rPr>
          <w:rFonts w:hint="eastAsia" w:ascii="宋体" w:hAnsi="宋体"/>
        </w:rPr>
        <w:t xml:space="preserve">地址：                                </w:t>
      </w:r>
    </w:p>
    <w:p w14:paraId="6AA65458">
      <w:pPr>
        <w:spacing w:before="156" w:beforeLines="50" w:after="156" w:afterLines="50" w:line="360" w:lineRule="auto"/>
        <w:ind w:firstLine="420" w:firstLineChars="200"/>
        <w:contextualSpacing/>
        <w:rPr>
          <w:rFonts w:hint="eastAsia" w:ascii="宋体" w:hAnsi="宋体"/>
        </w:rPr>
      </w:pPr>
      <w:r>
        <w:rPr>
          <w:rFonts w:hint="eastAsia" w:ascii="宋体" w:hAnsi="宋体"/>
        </w:rPr>
        <w:t xml:space="preserve">联络人：  </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lang w:eastAsia="zh-CN"/>
        </w:rPr>
        <w:t>；</w:t>
      </w:r>
      <w:r>
        <w:rPr>
          <w:rFonts w:hint="eastAsia" w:ascii="宋体" w:hAnsi="宋体"/>
        </w:rPr>
        <w:t xml:space="preserve">电话：             </w:t>
      </w:r>
    </w:p>
    <w:p w14:paraId="77C57871">
      <w:pPr>
        <w:spacing w:before="156" w:beforeLines="50" w:after="156" w:afterLines="50" w:line="360" w:lineRule="auto"/>
        <w:ind w:firstLine="420" w:firstLineChars="200"/>
        <w:contextualSpacing/>
        <w:rPr>
          <w:rFonts w:hint="eastAsia" w:ascii="宋体" w:hAnsi="宋体"/>
        </w:rPr>
      </w:pPr>
    </w:p>
    <w:p w14:paraId="09B7F2B9">
      <w:pPr>
        <w:spacing w:before="156" w:beforeLines="50" w:after="156" w:afterLines="50" w:line="360" w:lineRule="auto"/>
        <w:ind w:firstLine="420" w:firstLineChars="200"/>
        <w:contextualSpacing/>
        <w:rPr>
          <w:rFonts w:hint="eastAsia" w:ascii="宋体" w:hAnsi="宋体"/>
        </w:rPr>
      </w:pPr>
      <w:r>
        <w:rPr>
          <w:rFonts w:hint="eastAsia" w:ascii="宋体" w:hAnsi="宋体"/>
        </w:rPr>
        <w:t>为了切实加强对各供应商现场</w:t>
      </w:r>
      <w:r>
        <w:rPr>
          <w:rFonts w:hint="eastAsia" w:ascii="宋体" w:hAnsi="宋体"/>
          <w:lang w:eastAsia="zh-CN"/>
        </w:rPr>
        <w:t>、</w:t>
      </w:r>
      <w:r>
        <w:rPr>
          <w:rFonts w:hint="eastAsia" w:ascii="宋体" w:hAnsi="宋体"/>
          <w:lang w:val="en-US" w:eastAsia="zh-CN"/>
        </w:rPr>
        <w:t>装</w:t>
      </w:r>
      <w:r>
        <w:rPr>
          <w:rFonts w:hint="eastAsia" w:ascii="宋体" w:hAnsi="宋体"/>
        </w:rPr>
        <w:t>卸货</w:t>
      </w:r>
      <w:r>
        <w:rPr>
          <w:rFonts w:hint="eastAsia" w:ascii="宋体" w:hAnsi="宋体"/>
          <w:lang w:val="en-US" w:eastAsia="zh-CN"/>
        </w:rPr>
        <w:t>及运输过程</w:t>
      </w:r>
      <w:r>
        <w:rPr>
          <w:rFonts w:hint="eastAsia" w:ascii="宋体" w:hAnsi="宋体"/>
        </w:rPr>
        <w:t>的安全管理，进一步明确甲乙双方的安全管理责任，防止发生安全事故，依照《中华人民共和国</w:t>
      </w:r>
      <w:r>
        <w:rPr>
          <w:rFonts w:hint="eastAsia" w:ascii="宋体" w:hAnsi="宋体"/>
          <w:lang w:val="en-US" w:eastAsia="zh-CN"/>
        </w:rPr>
        <w:t>民法典</w:t>
      </w:r>
      <w:r>
        <w:rPr>
          <w:rFonts w:hint="eastAsia" w:ascii="宋体" w:hAnsi="宋体"/>
        </w:rPr>
        <w:t>》《中华人民共和国安全生产法》《危险化学品安全管理条例》及其它相关法律、法规规定，遵循平等、自愿、公平和依法管理的原则，在甲乙双方签订的《</w:t>
      </w:r>
      <w:r>
        <w:rPr>
          <w:rFonts w:hint="eastAsia" w:ascii="宋体" w:hAnsi="宋体"/>
          <w:lang w:val="en-US" w:eastAsia="zh-CN"/>
        </w:rPr>
        <w:t>麻涌餐厨项目预处理系统提效工程环保技术服务合同</w:t>
      </w:r>
      <w:r>
        <w:rPr>
          <w:rFonts w:hint="eastAsia" w:ascii="宋体" w:hAnsi="宋体"/>
        </w:rPr>
        <w:t>》</w:t>
      </w:r>
      <w:r>
        <w:rPr>
          <w:rFonts w:hint="eastAsia" w:ascii="宋体" w:hAnsi="宋体"/>
          <w:lang w:eastAsia="zh-CN"/>
        </w:rPr>
        <w:t>（</w:t>
      </w:r>
      <w:r>
        <w:rPr>
          <w:rFonts w:hint="eastAsia" w:ascii="宋体" w:hAnsi="宋体"/>
        </w:rPr>
        <w:t>以下简称原合同）基础上，共同协商一致，签订本安全管理协议书（以下简称本协议）。</w:t>
      </w:r>
    </w:p>
    <w:p w14:paraId="1502D75E">
      <w:pPr>
        <w:spacing w:before="156" w:beforeLines="50" w:after="156" w:afterLines="50" w:line="360" w:lineRule="auto"/>
        <w:ind w:firstLine="420" w:firstLineChars="200"/>
        <w:contextualSpacing/>
        <w:rPr>
          <w:rFonts w:hint="eastAsia" w:ascii="宋体" w:hAnsi="宋体"/>
        </w:rPr>
      </w:pPr>
    </w:p>
    <w:p w14:paraId="3D2A7541">
      <w:pPr>
        <w:spacing w:before="156" w:beforeLines="50" w:after="156" w:afterLines="50" w:line="360" w:lineRule="auto"/>
        <w:ind w:firstLine="420" w:firstLineChars="200"/>
        <w:contextualSpacing/>
        <w:rPr>
          <w:rFonts w:hint="eastAsia" w:ascii="宋体" w:hAnsi="宋体"/>
        </w:rPr>
      </w:pPr>
      <w:r>
        <w:rPr>
          <w:rFonts w:hint="eastAsia" w:ascii="宋体" w:hAnsi="宋体"/>
        </w:rPr>
        <w:t>第一条 基本情况</w:t>
      </w:r>
    </w:p>
    <w:p w14:paraId="018A0DC4">
      <w:pPr>
        <w:spacing w:before="156" w:beforeLines="50" w:after="156" w:afterLines="50" w:line="360" w:lineRule="auto"/>
        <w:ind w:firstLine="420" w:firstLineChars="200"/>
        <w:contextualSpacing/>
        <w:rPr>
          <w:rFonts w:hint="eastAsia" w:ascii="宋体" w:hAnsi="宋体"/>
          <w:lang w:eastAsia="zh-CN"/>
        </w:rPr>
      </w:pPr>
      <w:r>
        <w:rPr>
          <w:rFonts w:hint="eastAsia" w:ascii="宋体" w:hAnsi="宋体"/>
        </w:rPr>
        <w:t xml:space="preserve">1.1 </w:t>
      </w:r>
      <w:r>
        <w:rPr>
          <w:rFonts w:hint="eastAsia" w:ascii="宋体" w:hAnsi="宋体"/>
          <w:lang w:val="en-US" w:eastAsia="zh-CN"/>
        </w:rPr>
        <w:t>项目</w:t>
      </w:r>
      <w:r>
        <w:rPr>
          <w:rFonts w:hint="eastAsia" w:ascii="宋体" w:hAnsi="宋体"/>
        </w:rPr>
        <w:t>名称：</w:t>
      </w:r>
      <w:r>
        <w:rPr>
          <w:rFonts w:hint="eastAsia" w:ascii="宋体" w:hAnsi="宋体"/>
          <w:lang w:val="en-US" w:eastAsia="zh-CN"/>
        </w:rPr>
        <w:t>XXX</w:t>
      </w:r>
      <w:r>
        <w:rPr>
          <w:rFonts w:hint="eastAsia" w:ascii="宋体" w:hAnsi="宋体"/>
        </w:rPr>
        <w:t>项目</w:t>
      </w:r>
    </w:p>
    <w:p w14:paraId="01156EFE">
      <w:pPr>
        <w:spacing w:before="156" w:beforeLines="50" w:after="156" w:afterLines="50" w:line="360" w:lineRule="auto"/>
        <w:ind w:firstLine="420" w:firstLineChars="200"/>
        <w:contextualSpacing/>
        <w:rPr>
          <w:rFonts w:hint="eastAsia" w:ascii="宋体" w:hAnsi="宋体"/>
          <w:lang w:eastAsia="zh-CN"/>
        </w:rPr>
      </w:pPr>
      <w:r>
        <w:rPr>
          <w:rFonts w:hint="eastAsia" w:ascii="宋体" w:hAnsi="宋体"/>
        </w:rPr>
        <w:t xml:space="preserve">1.2 </w:t>
      </w:r>
      <w:r>
        <w:rPr>
          <w:rFonts w:hint="eastAsia" w:ascii="宋体" w:hAnsi="宋体"/>
          <w:lang w:val="en-US" w:eastAsia="zh-CN"/>
        </w:rPr>
        <w:t>服务</w:t>
      </w:r>
      <w:r>
        <w:rPr>
          <w:rFonts w:hint="eastAsia" w:ascii="宋体" w:hAnsi="宋体"/>
        </w:rPr>
        <w:t>地点</w:t>
      </w:r>
      <w:r>
        <w:rPr>
          <w:rFonts w:hint="eastAsia" w:ascii="宋体" w:hAnsi="宋体"/>
          <w:lang w:val="en-US" w:eastAsia="zh-CN"/>
        </w:rPr>
        <w:t>及</w:t>
      </w:r>
      <w:r>
        <w:rPr>
          <w:rFonts w:hint="eastAsia" w:ascii="宋体" w:hAnsi="宋体"/>
        </w:rPr>
        <w:t>范围：</w:t>
      </w:r>
      <w:r>
        <w:rPr>
          <w:rFonts w:hint="eastAsia" w:ascii="宋体" w:hAnsi="宋体"/>
          <w:lang w:val="en-US" w:eastAsia="zh-CN"/>
        </w:rPr>
        <w:t>详见原合同</w:t>
      </w:r>
    </w:p>
    <w:p w14:paraId="60071D8B">
      <w:pPr>
        <w:spacing w:before="156" w:beforeLines="50" w:after="156" w:afterLines="50" w:line="360" w:lineRule="auto"/>
        <w:ind w:firstLine="420" w:firstLineChars="200"/>
        <w:contextualSpacing/>
        <w:rPr>
          <w:rFonts w:hint="eastAsia" w:ascii="宋体" w:hAnsi="宋体"/>
          <w:lang w:eastAsia="zh-CN"/>
        </w:rPr>
      </w:pPr>
      <w:r>
        <w:rPr>
          <w:rFonts w:hint="eastAsia" w:ascii="宋体" w:hAnsi="宋体"/>
        </w:rPr>
        <w:t>1.</w:t>
      </w:r>
      <w:r>
        <w:rPr>
          <w:rFonts w:hint="eastAsia" w:ascii="宋体" w:hAnsi="宋体"/>
          <w:lang w:val="en-US" w:eastAsia="zh-CN"/>
        </w:rPr>
        <w:t>3</w:t>
      </w:r>
      <w:r>
        <w:rPr>
          <w:rFonts w:hint="eastAsia" w:ascii="宋体" w:hAnsi="宋体"/>
        </w:rPr>
        <w:t xml:space="preserve"> </w:t>
      </w:r>
      <w:r>
        <w:rPr>
          <w:rFonts w:hint="eastAsia" w:ascii="宋体" w:hAnsi="宋体"/>
          <w:lang w:val="en-US" w:eastAsia="zh-CN"/>
        </w:rPr>
        <w:t>服务时间</w:t>
      </w:r>
      <w:r>
        <w:rPr>
          <w:rFonts w:hint="eastAsia" w:ascii="宋体" w:hAnsi="宋体"/>
        </w:rPr>
        <w:t>：</w:t>
      </w:r>
      <w:r>
        <w:rPr>
          <w:rFonts w:hint="eastAsia" w:ascii="宋体" w:hAnsi="宋体"/>
          <w:lang w:val="en-US" w:eastAsia="zh-CN"/>
        </w:rPr>
        <w:t>详见原合同</w:t>
      </w:r>
    </w:p>
    <w:p w14:paraId="5DD3F60E">
      <w:pPr>
        <w:spacing w:before="156" w:beforeLines="50" w:after="156" w:afterLines="50" w:line="360" w:lineRule="auto"/>
        <w:ind w:firstLine="420" w:firstLineChars="200"/>
        <w:contextualSpacing/>
        <w:rPr>
          <w:rFonts w:hint="eastAsia" w:ascii="宋体" w:hAnsi="宋体"/>
        </w:rPr>
      </w:pPr>
      <w:r>
        <w:rPr>
          <w:rFonts w:hint="eastAsia" w:ascii="宋体" w:hAnsi="宋体"/>
        </w:rPr>
        <w:t>第二条 乙方资质</w:t>
      </w:r>
    </w:p>
    <w:p w14:paraId="50B5BE78">
      <w:pPr>
        <w:spacing w:before="156" w:beforeLines="50" w:after="156" w:afterLines="50" w:line="360" w:lineRule="auto"/>
        <w:ind w:firstLine="420" w:firstLineChars="200"/>
        <w:contextualSpacing/>
        <w:rPr>
          <w:rFonts w:hint="eastAsia" w:ascii="宋体" w:hAnsi="宋体"/>
        </w:rPr>
      </w:pPr>
      <w:r>
        <w:rPr>
          <w:rFonts w:hint="eastAsia" w:ascii="宋体" w:hAnsi="宋体"/>
        </w:rPr>
        <w:t>2.1 乙方应将资质、资格证书、安全</w:t>
      </w:r>
      <w:r>
        <w:rPr>
          <w:rFonts w:hint="eastAsia" w:ascii="宋体" w:hAnsi="宋体"/>
          <w:lang w:val="en-US" w:eastAsia="zh-CN"/>
        </w:rPr>
        <w:t>等</w:t>
      </w:r>
      <w:r>
        <w:rPr>
          <w:rFonts w:hint="eastAsia" w:ascii="宋体" w:hAnsi="宋体"/>
        </w:rPr>
        <w:t>有关资料原件呈送甲方，并对资料真实性负责，</w:t>
      </w:r>
      <w:r>
        <w:rPr>
          <w:rFonts w:hint="eastAsia" w:ascii="宋体" w:hAnsi="宋体"/>
          <w:lang w:val="en-US" w:eastAsia="zh-CN"/>
        </w:rPr>
        <w:t>甲方</w:t>
      </w:r>
      <w:r>
        <w:rPr>
          <w:rFonts w:hint="eastAsia" w:ascii="宋体" w:hAnsi="宋体"/>
        </w:rPr>
        <w:t>审核通过后报送甲方进行复核、备案。</w:t>
      </w:r>
    </w:p>
    <w:p w14:paraId="7E70515A">
      <w:pPr>
        <w:spacing w:before="156" w:beforeLines="50" w:after="156" w:afterLines="50" w:line="360" w:lineRule="auto"/>
        <w:ind w:firstLine="420" w:firstLineChars="200"/>
        <w:contextualSpacing/>
        <w:rPr>
          <w:rFonts w:hint="eastAsia" w:ascii="宋体" w:hAnsi="宋体"/>
        </w:rPr>
      </w:pPr>
      <w:r>
        <w:rPr>
          <w:rFonts w:hint="eastAsia" w:ascii="宋体" w:hAnsi="宋体"/>
        </w:rPr>
        <w:t>第三条 乙方承包项目负责人及安全管理人员</w:t>
      </w:r>
    </w:p>
    <w:p w14:paraId="39F229B5">
      <w:pPr>
        <w:spacing w:before="156" w:beforeLines="50" w:after="156" w:afterLines="50" w:line="360" w:lineRule="auto"/>
        <w:ind w:firstLine="420" w:firstLineChars="200"/>
        <w:contextualSpacing/>
        <w:rPr>
          <w:rFonts w:hint="eastAsia" w:ascii="宋体" w:hAnsi="宋体"/>
        </w:rPr>
      </w:pPr>
      <w:r>
        <w:rPr>
          <w:rFonts w:hint="eastAsia" w:ascii="宋体" w:hAnsi="宋体"/>
        </w:rPr>
        <w:t xml:space="preserve">3.1 乙方项目负责人：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w:t>
      </w:r>
      <w:r>
        <w:rPr>
          <w:rFonts w:hint="eastAsia" w:ascii="宋体" w:hAnsi="宋体"/>
        </w:rPr>
        <w:t xml:space="preserve">电话：  </w:t>
      </w:r>
      <w:r>
        <w:rPr>
          <w:rFonts w:hint="eastAsia" w:ascii="宋体" w:hAnsi="宋体"/>
          <w:lang w:val="en-US" w:eastAsia="zh-CN"/>
        </w:rPr>
        <w:t xml:space="preserve">    </w:t>
      </w:r>
      <w:r>
        <w:rPr>
          <w:rFonts w:hint="eastAsia" w:ascii="宋体" w:hAnsi="宋体"/>
        </w:rPr>
        <w:t xml:space="preserve">       ；</w:t>
      </w:r>
    </w:p>
    <w:p w14:paraId="51BE0C53">
      <w:pPr>
        <w:spacing w:before="156" w:beforeLines="50" w:after="156" w:afterLines="50" w:line="360" w:lineRule="auto"/>
        <w:ind w:firstLine="420" w:firstLineChars="200"/>
        <w:contextualSpacing/>
        <w:rPr>
          <w:rFonts w:hint="eastAsia" w:ascii="宋体" w:hAnsi="宋体"/>
        </w:rPr>
      </w:pPr>
      <w:r>
        <w:rPr>
          <w:rFonts w:hint="eastAsia" w:ascii="宋体" w:hAnsi="宋体"/>
        </w:rPr>
        <w:t xml:space="preserve">3.2 乙方安全管理负责人：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w:t>
      </w:r>
      <w:r>
        <w:rPr>
          <w:rFonts w:hint="eastAsia" w:ascii="宋体" w:hAnsi="宋体"/>
        </w:rPr>
        <w:t xml:space="preserve">电话：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w:t>
      </w:r>
    </w:p>
    <w:p w14:paraId="056A02D8">
      <w:pPr>
        <w:spacing w:before="156" w:beforeLines="50" w:after="156" w:afterLines="50" w:line="360" w:lineRule="auto"/>
        <w:ind w:firstLine="420" w:firstLineChars="200"/>
        <w:contextualSpacing/>
        <w:rPr>
          <w:rFonts w:hint="eastAsia" w:ascii="宋体" w:hAnsi="宋体"/>
        </w:rPr>
      </w:pPr>
      <w:r>
        <w:rPr>
          <w:rFonts w:hint="eastAsia" w:ascii="宋体" w:hAnsi="宋体"/>
        </w:rPr>
        <w:t>第四条 甲方的权利和义务</w:t>
      </w:r>
    </w:p>
    <w:p w14:paraId="6CEF2BA1">
      <w:pPr>
        <w:spacing w:before="156" w:beforeLines="50" w:after="156" w:afterLines="50" w:line="360" w:lineRule="auto"/>
        <w:ind w:firstLine="420" w:firstLineChars="200"/>
        <w:contextualSpacing/>
        <w:rPr>
          <w:rFonts w:hint="eastAsia" w:ascii="宋体" w:hAnsi="宋体"/>
        </w:rPr>
      </w:pPr>
      <w:r>
        <w:rPr>
          <w:rFonts w:hint="eastAsia" w:ascii="宋体" w:hAnsi="宋体"/>
        </w:rPr>
        <w:t>4.1 甲方或甲方委托方审查乙方的营业执照、资质证书、安全管理制度和安全防护</w:t>
      </w:r>
      <w:r>
        <w:rPr>
          <w:rFonts w:hint="eastAsia" w:ascii="宋体" w:hAnsi="宋体"/>
          <w:lang w:val="en-US" w:eastAsia="zh-CN"/>
        </w:rPr>
        <w:t>装置</w:t>
      </w:r>
      <w:r>
        <w:rPr>
          <w:rFonts w:hint="eastAsia" w:ascii="宋体" w:hAnsi="宋体"/>
        </w:rPr>
        <w:t>及检测情况等，并需要对原件和复印件进行核对无误；</w:t>
      </w:r>
    </w:p>
    <w:p w14:paraId="6EC460A8">
      <w:pPr>
        <w:spacing w:before="156" w:beforeLines="50" w:after="156" w:afterLines="50" w:line="360" w:lineRule="auto"/>
        <w:ind w:firstLine="420" w:firstLineChars="200"/>
        <w:contextualSpacing/>
        <w:rPr>
          <w:rFonts w:hint="eastAsia" w:ascii="宋体" w:hAnsi="宋体"/>
        </w:rPr>
      </w:pPr>
      <w:r>
        <w:rPr>
          <w:rFonts w:hint="eastAsia" w:ascii="宋体" w:hAnsi="宋体"/>
        </w:rPr>
        <w:t>4.2 甲方或甲方委托方对乙方所制定的安全操作规程和应急预案进行审查和检查，对无方案、无措施和措施落实不到位的有权停止</w:t>
      </w:r>
      <w:r>
        <w:rPr>
          <w:rFonts w:hint="eastAsia" w:ascii="宋体" w:hAnsi="宋体"/>
          <w:lang w:val="en-US" w:eastAsia="zh-CN"/>
        </w:rPr>
        <w:t>合作</w:t>
      </w:r>
      <w:r>
        <w:rPr>
          <w:rFonts w:hint="eastAsia" w:ascii="宋体" w:hAnsi="宋体"/>
        </w:rPr>
        <w:t>，限期整改，并根据具体情况进行处罚；</w:t>
      </w:r>
    </w:p>
    <w:p w14:paraId="092EE897">
      <w:pPr>
        <w:spacing w:before="156" w:beforeLines="50" w:after="156" w:afterLines="50" w:line="360" w:lineRule="auto"/>
        <w:ind w:firstLine="420" w:firstLineChars="200"/>
        <w:contextualSpacing/>
        <w:rPr>
          <w:rFonts w:hint="eastAsia" w:ascii="宋体" w:hAnsi="宋体"/>
        </w:rPr>
      </w:pPr>
      <w:r>
        <w:rPr>
          <w:rFonts w:hint="eastAsia" w:ascii="宋体" w:hAnsi="宋体"/>
        </w:rPr>
        <w:t>4.</w:t>
      </w:r>
      <w:r>
        <w:rPr>
          <w:rFonts w:hint="eastAsia" w:ascii="宋体" w:hAnsi="宋体"/>
          <w:lang w:val="en-US" w:eastAsia="zh-CN"/>
        </w:rPr>
        <w:t>3</w:t>
      </w:r>
      <w:r>
        <w:rPr>
          <w:rFonts w:hint="eastAsia" w:ascii="宋体" w:hAnsi="宋体"/>
        </w:rPr>
        <w:t xml:space="preserve"> 甲方或甲方委托方对乙方</w:t>
      </w:r>
      <w:r>
        <w:rPr>
          <w:rFonts w:hint="eastAsia" w:ascii="宋体" w:hAnsi="宋体"/>
          <w:lang w:val="en-US" w:eastAsia="zh-CN"/>
        </w:rPr>
        <w:t>货物的</w:t>
      </w:r>
      <w:r>
        <w:rPr>
          <w:rFonts w:hint="eastAsia" w:ascii="宋体" w:hAnsi="宋体"/>
          <w:lang w:eastAsia="zh-CN"/>
        </w:rPr>
        <w:t>运输装卸及押运人员</w:t>
      </w:r>
      <w:r>
        <w:rPr>
          <w:rFonts w:hint="eastAsia" w:ascii="宋体" w:hAnsi="宋体"/>
          <w:lang w:val="en-US" w:eastAsia="zh-CN"/>
        </w:rPr>
        <w:t>相关</w:t>
      </w:r>
      <w:r>
        <w:rPr>
          <w:rFonts w:hint="eastAsia" w:ascii="宋体" w:hAnsi="宋体"/>
        </w:rPr>
        <w:t>资格进行验证，禁止非</w:t>
      </w:r>
      <w:r>
        <w:rPr>
          <w:rFonts w:hint="eastAsia" w:ascii="宋体" w:hAnsi="宋体"/>
          <w:lang w:val="en-US" w:eastAsia="zh-CN"/>
        </w:rPr>
        <w:t>符合资质人员</w:t>
      </w:r>
      <w:r>
        <w:rPr>
          <w:rFonts w:hint="eastAsia" w:ascii="宋体" w:hAnsi="宋体"/>
        </w:rPr>
        <w:t>从事</w:t>
      </w:r>
      <w:r>
        <w:rPr>
          <w:rFonts w:hint="eastAsia" w:ascii="宋体" w:hAnsi="宋体"/>
          <w:lang w:val="en-US" w:eastAsia="zh-CN"/>
        </w:rPr>
        <w:t>相关</w:t>
      </w:r>
      <w:r>
        <w:rPr>
          <w:rFonts w:hint="eastAsia" w:ascii="宋体" w:hAnsi="宋体"/>
        </w:rPr>
        <w:t>作业；</w:t>
      </w:r>
    </w:p>
    <w:p w14:paraId="7F8BD87E">
      <w:pPr>
        <w:spacing w:before="156" w:beforeLines="50" w:after="156" w:afterLines="50" w:line="360" w:lineRule="auto"/>
        <w:ind w:firstLine="420" w:firstLineChars="200"/>
        <w:contextualSpacing/>
        <w:rPr>
          <w:rFonts w:hint="eastAsia" w:ascii="宋体" w:hAnsi="宋体"/>
        </w:rPr>
      </w:pPr>
      <w:r>
        <w:rPr>
          <w:rFonts w:hint="eastAsia" w:ascii="宋体" w:hAnsi="宋体"/>
        </w:rPr>
        <w:t>4.</w:t>
      </w:r>
      <w:r>
        <w:rPr>
          <w:rFonts w:hint="eastAsia" w:ascii="宋体" w:hAnsi="宋体"/>
          <w:lang w:val="en-US" w:eastAsia="zh-CN"/>
        </w:rPr>
        <w:t>4</w:t>
      </w:r>
      <w:r>
        <w:rPr>
          <w:rFonts w:hint="eastAsia" w:ascii="宋体" w:hAnsi="宋体"/>
        </w:rPr>
        <w:t xml:space="preserve"> 因乙方不遵守本协议条款，造成安全事故的发生，甲方有权取消乙方</w:t>
      </w:r>
      <w:r>
        <w:rPr>
          <w:rFonts w:hint="eastAsia" w:ascii="宋体" w:hAnsi="宋体"/>
          <w:lang w:val="en-US" w:eastAsia="zh-CN"/>
        </w:rPr>
        <w:t>成交</w:t>
      </w:r>
      <w:r>
        <w:rPr>
          <w:rFonts w:hint="eastAsia" w:ascii="宋体" w:hAnsi="宋体"/>
        </w:rPr>
        <w:t>资格，并终止原合同，因此产生的责任（包括但不限于民事责任、刑事责任及行政责任）由乙方承担，并且</w:t>
      </w:r>
      <w:r>
        <w:rPr>
          <w:rFonts w:hint="eastAsia" w:ascii="宋体" w:hAnsi="宋体"/>
          <w:lang w:val="en-US" w:eastAsia="zh-CN"/>
        </w:rPr>
        <w:t>甲方有权</w:t>
      </w:r>
      <w:r>
        <w:rPr>
          <w:rFonts w:hint="eastAsia" w:ascii="宋体" w:hAnsi="宋体"/>
        </w:rPr>
        <w:t>根据原合同及本协议相关规定向乙方</w:t>
      </w:r>
      <w:r>
        <w:rPr>
          <w:rFonts w:hint="eastAsia" w:ascii="宋体" w:hAnsi="宋体"/>
          <w:lang w:val="en-US" w:eastAsia="zh-CN"/>
        </w:rPr>
        <w:t>追究</w:t>
      </w:r>
      <w:r>
        <w:rPr>
          <w:rFonts w:hint="eastAsia" w:ascii="宋体" w:hAnsi="宋体"/>
        </w:rPr>
        <w:t>违约责任</w:t>
      </w:r>
      <w:r>
        <w:rPr>
          <w:rFonts w:hint="eastAsia" w:ascii="宋体" w:hAnsi="宋体"/>
          <w:lang w:val="en-US" w:eastAsia="zh-CN"/>
        </w:rPr>
        <w:t>和要求乙方赔偿甲方遭受的损失</w:t>
      </w:r>
      <w:r>
        <w:rPr>
          <w:rFonts w:hint="eastAsia" w:ascii="宋体" w:hAnsi="宋体"/>
        </w:rPr>
        <w:t>；</w:t>
      </w:r>
    </w:p>
    <w:p w14:paraId="3C996C6F">
      <w:pPr>
        <w:spacing w:before="156" w:beforeLines="50" w:after="156" w:afterLines="50" w:line="360" w:lineRule="auto"/>
        <w:ind w:firstLine="420" w:firstLineChars="200"/>
        <w:contextualSpacing/>
        <w:rPr>
          <w:rFonts w:hint="eastAsia" w:ascii="宋体" w:hAnsi="宋体"/>
        </w:rPr>
      </w:pPr>
      <w:r>
        <w:rPr>
          <w:rFonts w:hint="eastAsia" w:ascii="宋体" w:hAnsi="宋体"/>
        </w:rPr>
        <w:t>4.</w:t>
      </w:r>
      <w:r>
        <w:rPr>
          <w:rFonts w:hint="eastAsia" w:ascii="宋体" w:hAnsi="宋体"/>
          <w:lang w:val="en-US" w:eastAsia="zh-CN"/>
        </w:rPr>
        <w:t>5</w:t>
      </w:r>
      <w:r>
        <w:rPr>
          <w:rFonts w:hint="eastAsia" w:ascii="宋体" w:hAnsi="宋体"/>
        </w:rPr>
        <w:t xml:space="preserve"> 甲方或甲方委托方有权依据国家安全政策、法规和各项安全技术操作规程对乙方安全进行监督、检查和管理，有权纠正和制止乙方违规、违章行为，并根据具体情况进行处罚。甲方或甲方委托方发现乙方存在</w:t>
      </w:r>
      <w:r>
        <w:rPr>
          <w:rFonts w:hint="eastAsia" w:ascii="宋体" w:hAnsi="宋体"/>
          <w:lang w:val="en-US" w:eastAsia="zh-CN"/>
        </w:rPr>
        <w:t>作业</w:t>
      </w:r>
      <w:r>
        <w:rPr>
          <w:rFonts w:hint="eastAsia" w:ascii="宋体" w:hAnsi="宋体"/>
        </w:rPr>
        <w:t>安全隐患，有权责令乙方限期整改；对存在重大安全隐患的，甲方或甲方委托方有权责令乙方立即停</w:t>
      </w:r>
      <w:r>
        <w:rPr>
          <w:rFonts w:hint="eastAsia" w:ascii="宋体" w:hAnsi="宋体"/>
          <w:lang w:val="en-US" w:eastAsia="zh-CN"/>
        </w:rPr>
        <w:t>止作业并进行</w:t>
      </w:r>
      <w:r>
        <w:rPr>
          <w:rFonts w:hint="eastAsia" w:ascii="宋体" w:hAnsi="宋体"/>
        </w:rPr>
        <w:t>整改，待隐患消除</w:t>
      </w:r>
      <w:r>
        <w:rPr>
          <w:rFonts w:hint="eastAsia" w:ascii="宋体" w:hAnsi="宋体"/>
          <w:lang w:val="en-US" w:eastAsia="zh-CN"/>
        </w:rPr>
        <w:t>经甲方确认</w:t>
      </w:r>
      <w:r>
        <w:rPr>
          <w:rFonts w:hint="eastAsia" w:ascii="宋体" w:hAnsi="宋体"/>
        </w:rPr>
        <w:t>后方可</w:t>
      </w:r>
      <w:r>
        <w:rPr>
          <w:rFonts w:hint="eastAsia" w:ascii="宋体" w:hAnsi="宋体"/>
          <w:lang w:val="en-US" w:eastAsia="zh-CN"/>
        </w:rPr>
        <w:t>重新开始作业</w:t>
      </w:r>
      <w:r>
        <w:rPr>
          <w:rFonts w:hint="eastAsia" w:ascii="宋体" w:hAnsi="宋体"/>
        </w:rPr>
        <w:t>；</w:t>
      </w:r>
    </w:p>
    <w:p w14:paraId="3C6DEB0A">
      <w:pPr>
        <w:spacing w:before="156" w:beforeLines="50" w:after="156" w:afterLines="50" w:line="360" w:lineRule="auto"/>
        <w:ind w:firstLine="420" w:firstLineChars="200"/>
        <w:contextualSpacing/>
        <w:rPr>
          <w:rFonts w:hint="eastAsia" w:ascii="宋体" w:hAnsi="宋体"/>
        </w:rPr>
      </w:pPr>
      <w:r>
        <w:rPr>
          <w:rFonts w:hint="eastAsia" w:ascii="宋体" w:hAnsi="宋体"/>
        </w:rPr>
        <w:t>4</w:t>
      </w:r>
      <w:r>
        <w:rPr>
          <w:rFonts w:hint="eastAsia" w:ascii="宋体" w:hAnsi="宋体"/>
          <w:lang w:val="en-US" w:eastAsia="zh-CN"/>
        </w:rPr>
        <w:t xml:space="preserve">.6 </w:t>
      </w:r>
      <w:r>
        <w:rPr>
          <w:rFonts w:hint="eastAsia" w:ascii="宋体" w:hAnsi="宋体"/>
        </w:rPr>
        <w:t>乙方发生事故时，甲方或甲方委托方应提供支持和帮助，发生人身伤害事故时，要积极配合抢救，并提供其他便利条件</w:t>
      </w:r>
      <w:r>
        <w:rPr>
          <w:rFonts w:hint="eastAsia" w:ascii="宋体" w:hAnsi="宋体"/>
          <w:lang w:eastAsia="zh-CN"/>
        </w:rPr>
        <w:t>。</w:t>
      </w:r>
    </w:p>
    <w:p w14:paraId="39E48A1C">
      <w:pPr>
        <w:spacing w:before="156" w:beforeLines="50" w:after="156" w:afterLines="50" w:line="360" w:lineRule="auto"/>
        <w:ind w:firstLine="420" w:firstLineChars="200"/>
        <w:contextualSpacing/>
        <w:rPr>
          <w:rFonts w:hint="eastAsia" w:ascii="宋体" w:hAnsi="宋体"/>
        </w:rPr>
      </w:pPr>
      <w:r>
        <w:rPr>
          <w:rFonts w:hint="eastAsia" w:ascii="宋体" w:hAnsi="宋体"/>
        </w:rPr>
        <w:t>第五条 乙方的权利和义务</w:t>
      </w:r>
    </w:p>
    <w:p w14:paraId="56D58AB6">
      <w:pPr>
        <w:spacing w:before="156" w:beforeLines="50" w:after="156" w:afterLines="50" w:line="360" w:lineRule="auto"/>
        <w:ind w:firstLine="420" w:firstLineChars="200"/>
        <w:contextualSpacing/>
        <w:rPr>
          <w:rFonts w:hint="eastAsia" w:ascii="宋体" w:hAnsi="宋体"/>
        </w:rPr>
      </w:pPr>
      <w:r>
        <w:rPr>
          <w:rFonts w:hint="eastAsia" w:ascii="宋体" w:hAnsi="宋体"/>
        </w:rPr>
        <w:t>5.1 乙方负责人是</w:t>
      </w:r>
      <w:r>
        <w:rPr>
          <w:rFonts w:hint="eastAsia" w:ascii="宋体" w:hAnsi="宋体"/>
          <w:lang w:val="en-US" w:eastAsia="zh-CN"/>
        </w:rPr>
        <w:t>原合同项目</w:t>
      </w:r>
      <w:r>
        <w:rPr>
          <w:rFonts w:hint="eastAsia" w:ascii="宋体" w:hAnsi="宋体"/>
        </w:rPr>
        <w:t>第一责任人，对本协议安全负全面责任；</w:t>
      </w:r>
    </w:p>
    <w:p w14:paraId="6A8CB554">
      <w:pPr>
        <w:spacing w:before="156" w:beforeLines="50" w:after="156" w:afterLines="50" w:line="360" w:lineRule="auto"/>
        <w:ind w:firstLine="420" w:firstLineChars="200"/>
        <w:contextualSpacing/>
        <w:rPr>
          <w:rFonts w:hint="eastAsia" w:ascii="宋体" w:hAnsi="宋体"/>
        </w:rPr>
      </w:pPr>
      <w:r>
        <w:rPr>
          <w:rFonts w:hint="eastAsia" w:ascii="宋体" w:hAnsi="宋体"/>
        </w:rPr>
        <w:t>5.2 乙方应认真贯彻执行国家安全生产政策、法规和行业安全规程、规定及甲方制定的各项安全管理制度</w:t>
      </w:r>
      <w:r>
        <w:rPr>
          <w:rFonts w:hint="eastAsia" w:ascii="宋体" w:hAnsi="宋体"/>
          <w:lang w:eastAsia="zh-CN"/>
        </w:rPr>
        <w:t>、</w:t>
      </w:r>
      <w:r>
        <w:rPr>
          <w:rFonts w:hint="eastAsia" w:ascii="宋体" w:hAnsi="宋体"/>
          <w:lang w:val="en-US" w:eastAsia="zh-CN"/>
        </w:rPr>
        <w:t>通知</w:t>
      </w:r>
      <w:r>
        <w:rPr>
          <w:rFonts w:hint="eastAsia" w:ascii="宋体" w:hAnsi="宋体"/>
        </w:rPr>
        <w:t>，自觉遵守本协议；</w:t>
      </w:r>
    </w:p>
    <w:p w14:paraId="1B8DC3DE">
      <w:pPr>
        <w:spacing w:before="156" w:beforeLines="50" w:after="156" w:afterLines="50" w:line="360" w:lineRule="auto"/>
        <w:ind w:firstLine="420" w:firstLineChars="200"/>
        <w:contextualSpacing/>
        <w:rPr>
          <w:rFonts w:hint="eastAsia" w:ascii="宋体" w:hAnsi="宋体"/>
          <w:lang w:eastAsia="zh-CN"/>
        </w:rPr>
      </w:pPr>
      <w:r>
        <w:rPr>
          <w:rFonts w:hint="eastAsia" w:ascii="宋体" w:hAnsi="宋体"/>
        </w:rPr>
        <w:t>5.3 乙方自备及租赁的</w:t>
      </w:r>
      <w:r>
        <w:rPr>
          <w:rFonts w:hint="eastAsia" w:ascii="宋体" w:hAnsi="宋体"/>
          <w:lang w:val="en-US" w:eastAsia="zh-CN"/>
        </w:rPr>
        <w:t>运输车辆及各类工具</w:t>
      </w:r>
      <w:r>
        <w:rPr>
          <w:rFonts w:hint="eastAsia" w:ascii="宋体" w:hAnsi="宋体"/>
        </w:rPr>
        <w:t>，必须经</w:t>
      </w:r>
      <w:r>
        <w:rPr>
          <w:rFonts w:hint="eastAsia" w:ascii="宋体" w:hAnsi="宋体"/>
          <w:lang w:val="en-US" w:eastAsia="zh-CN"/>
        </w:rPr>
        <w:t>定期</w:t>
      </w:r>
      <w:r>
        <w:rPr>
          <w:rFonts w:hint="eastAsia" w:ascii="宋体" w:hAnsi="宋体"/>
        </w:rPr>
        <w:t>检验合格</w:t>
      </w:r>
      <w:r>
        <w:rPr>
          <w:rFonts w:hint="eastAsia" w:ascii="宋体" w:hAnsi="宋体"/>
          <w:lang w:eastAsia="zh-CN"/>
        </w:rPr>
        <w:t>，</w:t>
      </w:r>
      <w:r>
        <w:rPr>
          <w:rFonts w:hint="eastAsia" w:ascii="宋体" w:hAnsi="宋体"/>
        </w:rPr>
        <w:t>符合国家技术标准和行业技术标准并遵守相关操作规程，且性能良好，各种安全防护装置齐全、灵敏、可靠</w:t>
      </w:r>
      <w:r>
        <w:rPr>
          <w:rFonts w:hint="eastAsia" w:ascii="宋体" w:hAnsi="宋体"/>
          <w:lang w:eastAsia="zh-CN"/>
        </w:rPr>
        <w:t>；</w:t>
      </w:r>
    </w:p>
    <w:p w14:paraId="7F8318D3">
      <w:pPr>
        <w:spacing w:before="156" w:beforeLines="50" w:after="156" w:afterLines="50" w:line="360" w:lineRule="auto"/>
        <w:ind w:firstLine="420" w:firstLineChars="200"/>
        <w:contextualSpacing/>
        <w:rPr>
          <w:rFonts w:hint="eastAsia" w:ascii="宋体" w:hAnsi="宋体"/>
        </w:rPr>
      </w:pPr>
      <w:r>
        <w:rPr>
          <w:rFonts w:hint="eastAsia" w:ascii="宋体" w:hAnsi="宋体"/>
        </w:rPr>
        <w:t>5.4 乙方在</w:t>
      </w:r>
      <w:r>
        <w:rPr>
          <w:rFonts w:hint="eastAsia" w:ascii="宋体" w:hAnsi="宋体"/>
          <w:lang w:val="en-US" w:eastAsia="zh-CN"/>
        </w:rPr>
        <w:t>装卸货或其他</w:t>
      </w:r>
      <w:r>
        <w:rPr>
          <w:rFonts w:hint="eastAsia" w:ascii="宋体" w:hAnsi="宋体"/>
        </w:rPr>
        <w:t>作业过程中应切实采取有效</w:t>
      </w:r>
      <w:r>
        <w:rPr>
          <w:rFonts w:hint="eastAsia" w:ascii="宋体" w:hAnsi="宋体"/>
          <w:lang w:val="en-US" w:eastAsia="zh-CN"/>
        </w:rPr>
        <w:t>的</w:t>
      </w:r>
      <w:r>
        <w:rPr>
          <w:rFonts w:hint="eastAsia" w:ascii="宋体" w:hAnsi="宋体"/>
        </w:rPr>
        <w:t>安全防护措施，加强安全管理工作，防止各类安全事故的发生，保证人身及财产安全；</w:t>
      </w:r>
    </w:p>
    <w:p w14:paraId="3D17337A">
      <w:pPr>
        <w:spacing w:before="156" w:beforeLines="50" w:after="156" w:afterLines="50" w:line="360" w:lineRule="auto"/>
        <w:ind w:firstLine="420" w:firstLineChars="200"/>
        <w:contextualSpacing/>
        <w:rPr>
          <w:rFonts w:hint="eastAsia" w:ascii="宋体" w:hAnsi="宋体"/>
        </w:rPr>
      </w:pPr>
      <w:r>
        <w:rPr>
          <w:rFonts w:hint="eastAsia" w:ascii="宋体" w:hAnsi="宋体"/>
        </w:rPr>
        <w:t>5.</w:t>
      </w:r>
      <w:r>
        <w:rPr>
          <w:rFonts w:hint="eastAsia" w:ascii="宋体" w:hAnsi="宋体"/>
          <w:lang w:val="en-US" w:eastAsia="zh-CN"/>
        </w:rPr>
        <w:t>5</w:t>
      </w:r>
      <w:r>
        <w:rPr>
          <w:rFonts w:hint="eastAsia" w:ascii="宋体" w:hAnsi="宋体"/>
        </w:rPr>
        <w:t xml:space="preserve"> 乙方应建立安全生产保证体系及安全组织机构，设置专职安全生产管理人员，健全安全生产责任制及相应的安全奖惩办法；</w:t>
      </w:r>
    </w:p>
    <w:p w14:paraId="5A679C62">
      <w:pPr>
        <w:spacing w:before="156" w:beforeLines="50" w:after="156" w:afterLines="50" w:line="360" w:lineRule="auto"/>
        <w:ind w:firstLine="420" w:firstLineChars="200"/>
        <w:contextualSpacing/>
        <w:rPr>
          <w:rFonts w:hint="eastAsia" w:ascii="宋体" w:hAnsi="宋体"/>
        </w:rPr>
      </w:pPr>
      <w:r>
        <w:rPr>
          <w:rFonts w:hint="eastAsia" w:ascii="宋体" w:hAnsi="宋体"/>
        </w:rPr>
        <w:t>5.</w:t>
      </w:r>
      <w:r>
        <w:rPr>
          <w:rFonts w:hint="eastAsia" w:ascii="宋体" w:hAnsi="宋体"/>
          <w:lang w:val="en-US" w:eastAsia="zh-CN"/>
        </w:rPr>
        <w:t>6</w:t>
      </w:r>
      <w:r>
        <w:rPr>
          <w:rFonts w:hint="eastAsia" w:ascii="宋体" w:hAnsi="宋体"/>
        </w:rPr>
        <w:t xml:space="preserve"> 乙方根据装卸货现场特点编制安全</w:t>
      </w:r>
      <w:r>
        <w:rPr>
          <w:rFonts w:hint="eastAsia" w:ascii="宋体" w:hAnsi="宋体"/>
          <w:lang w:val="en-US" w:eastAsia="zh-CN"/>
        </w:rPr>
        <w:t>操作规程</w:t>
      </w:r>
      <w:r>
        <w:rPr>
          <w:rFonts w:hint="eastAsia" w:ascii="宋体" w:hAnsi="宋体"/>
        </w:rPr>
        <w:t>和应急预案方案；</w:t>
      </w:r>
    </w:p>
    <w:p w14:paraId="0473AF78">
      <w:pPr>
        <w:spacing w:before="156" w:beforeLines="50" w:after="156" w:afterLines="50" w:line="360" w:lineRule="auto"/>
        <w:ind w:firstLine="420" w:firstLineChars="200"/>
        <w:contextualSpacing/>
        <w:rPr>
          <w:rFonts w:hint="eastAsia" w:ascii="宋体" w:hAnsi="宋体"/>
        </w:rPr>
      </w:pPr>
      <w:r>
        <w:rPr>
          <w:rFonts w:hint="eastAsia" w:ascii="宋体" w:hAnsi="宋体"/>
        </w:rPr>
        <w:t>5.</w:t>
      </w:r>
      <w:r>
        <w:rPr>
          <w:rFonts w:hint="eastAsia" w:ascii="宋体" w:hAnsi="宋体"/>
          <w:lang w:val="en-US" w:eastAsia="zh-CN"/>
        </w:rPr>
        <w:t>7</w:t>
      </w:r>
      <w:r>
        <w:rPr>
          <w:rFonts w:hint="eastAsia" w:ascii="宋体" w:hAnsi="宋体"/>
        </w:rPr>
        <w:t xml:space="preserve"> 乙方做好</w:t>
      </w:r>
      <w:r>
        <w:rPr>
          <w:rFonts w:hint="eastAsia" w:ascii="宋体" w:hAnsi="宋体"/>
          <w:lang w:val="en-US" w:eastAsia="zh-CN"/>
        </w:rPr>
        <w:t>相关作业</w:t>
      </w:r>
      <w:r>
        <w:rPr>
          <w:rFonts w:hint="eastAsia" w:ascii="宋体" w:hAnsi="宋体"/>
        </w:rPr>
        <w:t>人员的安全教育和安全技术交底工作，保证上岗作业人员经</w:t>
      </w:r>
      <w:r>
        <w:rPr>
          <w:rFonts w:hint="eastAsia" w:ascii="宋体" w:hAnsi="宋体"/>
          <w:lang w:eastAsia="zh-CN"/>
        </w:rPr>
        <w:t>过安</w:t>
      </w:r>
      <w:r>
        <w:rPr>
          <w:rFonts w:hint="eastAsia" w:ascii="宋体" w:hAnsi="宋体"/>
        </w:rPr>
        <w:t>全教育，未经安全教育者不得进场</w:t>
      </w:r>
      <w:r>
        <w:rPr>
          <w:rFonts w:hint="eastAsia" w:ascii="宋体" w:hAnsi="宋体"/>
          <w:lang w:val="en-US" w:eastAsia="zh-CN"/>
        </w:rPr>
        <w:t>作业</w:t>
      </w:r>
      <w:r>
        <w:rPr>
          <w:rFonts w:hint="eastAsia" w:ascii="宋体" w:hAnsi="宋体"/>
        </w:rPr>
        <w:t>；</w:t>
      </w:r>
    </w:p>
    <w:p w14:paraId="22761B6F">
      <w:pPr>
        <w:spacing w:before="156" w:beforeLines="50" w:after="156" w:afterLines="50" w:line="360" w:lineRule="auto"/>
        <w:ind w:firstLine="420" w:firstLineChars="200"/>
        <w:contextualSpacing/>
        <w:rPr>
          <w:rFonts w:hint="eastAsia" w:ascii="宋体" w:hAnsi="宋体"/>
        </w:rPr>
      </w:pPr>
      <w:r>
        <w:rPr>
          <w:rFonts w:hint="eastAsia" w:ascii="宋体" w:hAnsi="宋体"/>
        </w:rPr>
        <w:t>5.</w:t>
      </w:r>
      <w:r>
        <w:rPr>
          <w:rFonts w:hint="eastAsia" w:ascii="宋体" w:hAnsi="宋体"/>
          <w:lang w:val="en-US" w:eastAsia="zh-CN"/>
        </w:rPr>
        <w:t>8</w:t>
      </w:r>
      <w:r>
        <w:rPr>
          <w:rFonts w:hint="eastAsia" w:ascii="宋体" w:hAnsi="宋体"/>
        </w:rPr>
        <w:t xml:space="preserve"> 乙方应购置配备安全防护设施和劳动保护用品，其使用要求符合国家标准，对不合格者，甲方有权要求整改，并根据具体情况进行处罚；</w:t>
      </w:r>
    </w:p>
    <w:p w14:paraId="29A6232E">
      <w:pPr>
        <w:spacing w:before="156" w:beforeLines="50" w:after="156" w:afterLines="50" w:line="360" w:lineRule="auto"/>
        <w:ind w:firstLine="420" w:firstLineChars="200"/>
        <w:contextualSpacing/>
        <w:rPr>
          <w:rFonts w:hint="eastAsia" w:ascii="宋体" w:hAnsi="宋体"/>
          <w:lang w:val="en-US" w:eastAsia="zh-CN"/>
        </w:rPr>
      </w:pPr>
      <w:r>
        <w:rPr>
          <w:rFonts w:hint="eastAsia" w:ascii="宋体" w:hAnsi="宋体"/>
          <w:lang w:val="en-US" w:eastAsia="zh-CN"/>
        </w:rPr>
        <w:t xml:space="preserve">5.9 </w:t>
      </w:r>
      <w:r>
        <w:rPr>
          <w:rFonts w:hint="eastAsia" w:ascii="宋体" w:hAnsi="宋体"/>
        </w:rPr>
        <w:t>乙方应加强</w:t>
      </w:r>
      <w:r>
        <w:rPr>
          <w:rFonts w:hint="eastAsia" w:ascii="宋体" w:hAnsi="宋体"/>
          <w:lang w:val="en-US" w:eastAsia="zh-CN"/>
        </w:rPr>
        <w:t>收运</w:t>
      </w:r>
      <w:r>
        <w:rPr>
          <w:rFonts w:hint="eastAsia" w:ascii="宋体" w:hAnsi="宋体"/>
        </w:rPr>
        <w:t>作业现场管理，严禁无关人员随意进入</w:t>
      </w:r>
      <w:r>
        <w:rPr>
          <w:rFonts w:hint="eastAsia" w:ascii="宋体" w:hAnsi="宋体"/>
          <w:lang w:val="en-US" w:eastAsia="zh-CN"/>
        </w:rPr>
        <w:t>甲方以及甲方客户（产废单位）的生产作业</w:t>
      </w:r>
      <w:r>
        <w:rPr>
          <w:rFonts w:hint="eastAsia" w:ascii="宋体" w:hAnsi="宋体"/>
        </w:rPr>
        <w:t>区域。如需进入</w:t>
      </w:r>
      <w:r>
        <w:rPr>
          <w:rFonts w:hint="eastAsia" w:ascii="宋体" w:hAnsi="宋体"/>
          <w:lang w:val="en-US" w:eastAsia="zh-CN"/>
        </w:rPr>
        <w:t>甲方</w:t>
      </w:r>
      <w:r>
        <w:rPr>
          <w:rFonts w:hint="eastAsia" w:ascii="宋体" w:hAnsi="宋体"/>
        </w:rPr>
        <w:t>车间及仓库，应提前向甲方报备，同意后方可进入并保持作业现场良好的秩序；</w:t>
      </w:r>
      <w:r>
        <w:rPr>
          <w:rFonts w:hint="eastAsia" w:ascii="宋体" w:hAnsi="宋体"/>
          <w:lang w:val="en-US" w:eastAsia="zh-CN"/>
        </w:rPr>
        <w:t>在进入甲方客户（产废单位）车间或者仓库进行收运作业时，严格遵守甲方客户（产废单位）的安全管理规定。</w:t>
      </w:r>
    </w:p>
    <w:p w14:paraId="4DADEE65">
      <w:pPr>
        <w:spacing w:before="156" w:beforeLines="50" w:after="156" w:afterLines="50" w:line="360" w:lineRule="auto"/>
        <w:ind w:firstLine="420" w:firstLineChars="200"/>
        <w:contextualSpacing/>
        <w:rPr>
          <w:rFonts w:hint="eastAsia" w:ascii="宋体" w:hAnsi="宋体"/>
          <w:lang w:val="en-US" w:eastAsia="zh-CN"/>
        </w:rPr>
      </w:pPr>
      <w:r>
        <w:rPr>
          <w:rFonts w:hint="eastAsia" w:ascii="宋体" w:hAnsi="宋体"/>
          <w:lang w:val="en-US" w:eastAsia="zh-CN"/>
        </w:rPr>
        <w:t xml:space="preserve">5.10 </w:t>
      </w:r>
      <w:r>
        <w:rPr>
          <w:rFonts w:hint="eastAsia" w:ascii="宋体" w:hAnsi="宋体"/>
        </w:rPr>
        <w:t>未经甲方同意，乙方不得擅自使用</w:t>
      </w:r>
      <w:r>
        <w:rPr>
          <w:rFonts w:hint="eastAsia" w:ascii="宋体" w:hAnsi="宋体"/>
          <w:lang w:val="en-US" w:eastAsia="zh-CN"/>
        </w:rPr>
        <w:t>甲方</w:t>
      </w:r>
      <w:r>
        <w:rPr>
          <w:rFonts w:hint="eastAsia" w:ascii="宋体" w:hAnsi="宋体"/>
        </w:rPr>
        <w:t>车间所有设施设备工具。乙方不得未经甲方允许私自接用生产电源及水源。如确有所需，向甲方报备允许后在相关车间工作人员的陪同监督下使用。</w:t>
      </w:r>
      <w:r>
        <w:rPr>
          <w:rFonts w:hint="eastAsia" w:ascii="宋体" w:hAnsi="宋体"/>
          <w:lang w:val="en-US" w:eastAsia="zh-CN"/>
        </w:rPr>
        <w:t>在甲方客户（产废单位）作业时同理。</w:t>
      </w:r>
    </w:p>
    <w:p w14:paraId="7445FBF2">
      <w:pPr>
        <w:spacing w:before="156" w:beforeLines="50" w:after="156" w:afterLines="50" w:line="360" w:lineRule="auto"/>
        <w:ind w:firstLine="420" w:firstLineChars="200"/>
        <w:contextualSpacing/>
        <w:rPr>
          <w:rFonts w:hint="eastAsia" w:ascii="宋体" w:hAnsi="宋体"/>
        </w:rPr>
      </w:pPr>
      <w:r>
        <w:rPr>
          <w:rFonts w:hint="eastAsia" w:ascii="宋体" w:hAnsi="宋体"/>
        </w:rPr>
        <w:t>5.1</w:t>
      </w:r>
      <w:r>
        <w:rPr>
          <w:rFonts w:hint="eastAsia" w:ascii="宋体" w:hAnsi="宋体"/>
          <w:lang w:val="en-US" w:eastAsia="zh-CN"/>
        </w:rPr>
        <w:t xml:space="preserve">1 </w:t>
      </w:r>
      <w:r>
        <w:rPr>
          <w:rFonts w:hint="eastAsia" w:ascii="宋体" w:hAnsi="宋体"/>
        </w:rPr>
        <w:t>乙方应在规定的时间内完成甲方检查所发现的安全隐患项的整改；</w:t>
      </w:r>
    </w:p>
    <w:p w14:paraId="3AA58559">
      <w:pPr>
        <w:spacing w:before="156" w:beforeLines="50" w:after="156" w:afterLines="50" w:line="360" w:lineRule="auto"/>
        <w:ind w:firstLine="420" w:firstLineChars="200"/>
        <w:contextualSpacing/>
        <w:rPr>
          <w:rFonts w:hint="eastAsia" w:ascii="宋体" w:hAnsi="宋体"/>
        </w:rPr>
      </w:pPr>
      <w:r>
        <w:rPr>
          <w:rFonts w:hint="eastAsia" w:ascii="宋体" w:hAnsi="宋体"/>
        </w:rPr>
        <w:t>5.1</w:t>
      </w:r>
      <w:r>
        <w:rPr>
          <w:rFonts w:hint="eastAsia" w:ascii="宋体" w:hAnsi="宋体"/>
          <w:lang w:val="en-US" w:eastAsia="zh-CN"/>
        </w:rPr>
        <w:t>2</w:t>
      </w:r>
      <w:r>
        <w:rPr>
          <w:rFonts w:hint="eastAsia" w:ascii="宋体" w:hAnsi="宋体"/>
        </w:rPr>
        <w:t xml:space="preserve"> 乙方在</w:t>
      </w:r>
      <w:r>
        <w:rPr>
          <w:rFonts w:hint="eastAsia" w:ascii="宋体" w:hAnsi="宋体"/>
          <w:lang w:val="en-US" w:eastAsia="zh-CN"/>
        </w:rPr>
        <w:t>装卸货及运输</w:t>
      </w:r>
      <w:r>
        <w:rPr>
          <w:rFonts w:hint="eastAsia" w:ascii="宋体" w:hAnsi="宋体"/>
        </w:rPr>
        <w:t>过程中对人的不安全行为，物的不安全状态，作业环境的不安全因素和管理上的缺陷进行控制。杜绝违章指挥、违章作业现象存在；</w:t>
      </w:r>
    </w:p>
    <w:p w14:paraId="54B07C56">
      <w:pPr>
        <w:spacing w:before="156" w:beforeLines="50" w:after="156" w:afterLines="50" w:line="360" w:lineRule="auto"/>
        <w:ind w:firstLine="420" w:firstLineChars="200"/>
        <w:contextualSpacing/>
        <w:rPr>
          <w:rFonts w:hint="eastAsia" w:ascii="宋体" w:hAnsi="宋体"/>
        </w:rPr>
      </w:pPr>
      <w:r>
        <w:rPr>
          <w:rFonts w:hint="eastAsia" w:ascii="宋体" w:hAnsi="宋体"/>
        </w:rPr>
        <w:t>5.1</w:t>
      </w:r>
      <w:r>
        <w:rPr>
          <w:rFonts w:hint="eastAsia" w:ascii="宋体" w:hAnsi="宋体"/>
          <w:lang w:val="en-US" w:eastAsia="zh-CN"/>
        </w:rPr>
        <w:t>3</w:t>
      </w:r>
      <w:r>
        <w:rPr>
          <w:rFonts w:hint="eastAsia" w:ascii="宋体" w:hAnsi="宋体"/>
        </w:rPr>
        <w:t xml:space="preserve"> 乙方有责任向甲方提出安全合理化建议，有义务完成甲方安排的有利于安全工作的其他要求；</w:t>
      </w:r>
    </w:p>
    <w:p w14:paraId="471DE59C">
      <w:pPr>
        <w:spacing w:before="156" w:beforeLines="50" w:after="156" w:afterLines="50" w:line="360" w:lineRule="auto"/>
        <w:ind w:firstLine="420" w:firstLineChars="200"/>
        <w:contextualSpacing/>
        <w:rPr>
          <w:rFonts w:hint="eastAsia" w:ascii="宋体" w:hAnsi="宋体"/>
        </w:rPr>
      </w:pPr>
      <w:r>
        <w:rPr>
          <w:rFonts w:hint="eastAsia" w:ascii="宋体" w:hAnsi="宋体"/>
        </w:rPr>
        <w:t>5.1</w:t>
      </w:r>
      <w:r>
        <w:rPr>
          <w:rFonts w:hint="eastAsia" w:ascii="宋体" w:hAnsi="宋体"/>
          <w:lang w:val="en-US" w:eastAsia="zh-CN"/>
        </w:rPr>
        <w:t>4</w:t>
      </w:r>
      <w:r>
        <w:rPr>
          <w:rFonts w:hint="eastAsia" w:ascii="宋体" w:hAnsi="宋体"/>
        </w:rPr>
        <w:t xml:space="preserve"> 乙方在进场</w:t>
      </w:r>
      <w:r>
        <w:rPr>
          <w:rFonts w:hint="eastAsia" w:ascii="宋体" w:hAnsi="宋体"/>
          <w:lang w:val="en-US" w:eastAsia="zh-CN"/>
        </w:rPr>
        <w:t>装</w:t>
      </w:r>
      <w:r>
        <w:rPr>
          <w:rFonts w:hint="eastAsia" w:ascii="宋体" w:hAnsi="宋体"/>
        </w:rPr>
        <w:t>卸货</w:t>
      </w:r>
      <w:r>
        <w:rPr>
          <w:rFonts w:hint="eastAsia" w:ascii="宋体" w:hAnsi="宋体"/>
          <w:lang w:val="en-US" w:eastAsia="zh-CN"/>
        </w:rPr>
        <w:t>及运输</w:t>
      </w:r>
      <w:r>
        <w:rPr>
          <w:rFonts w:hint="eastAsia" w:ascii="宋体" w:hAnsi="宋体"/>
        </w:rPr>
        <w:t>过程中发生安全事故，应按照国家相关安全事故报告和调查处理的规定，及时如实上报甲方，不得发生迟报、瞒报、谎报现象，甲方将保留对其追究法律责任的权利；</w:t>
      </w:r>
    </w:p>
    <w:p w14:paraId="7A86D790">
      <w:pPr>
        <w:spacing w:before="156" w:beforeLines="50" w:after="156" w:afterLines="50" w:line="360" w:lineRule="auto"/>
        <w:ind w:firstLine="420" w:firstLineChars="200"/>
        <w:contextualSpacing/>
        <w:rPr>
          <w:rFonts w:hint="eastAsia" w:ascii="宋体" w:hAnsi="宋体"/>
        </w:rPr>
      </w:pPr>
      <w:r>
        <w:rPr>
          <w:rFonts w:hint="eastAsia" w:ascii="宋体" w:hAnsi="宋体"/>
        </w:rPr>
        <w:t>5.1</w:t>
      </w:r>
      <w:r>
        <w:rPr>
          <w:rFonts w:hint="eastAsia" w:ascii="宋体" w:hAnsi="宋体"/>
          <w:lang w:val="en-US" w:eastAsia="zh-CN"/>
        </w:rPr>
        <w:t>5</w:t>
      </w:r>
      <w:r>
        <w:rPr>
          <w:rFonts w:hint="eastAsia" w:ascii="宋体" w:hAnsi="宋体"/>
        </w:rPr>
        <w:t xml:space="preserve"> 乙方在安全事故发生后，应当采取相应措施防止事故扩大，保护事故现场；按照事故处理“四不放过”的原则（即事故原因不清楚不放过、事故责任者和应受到教育者没有受到教育不放过、没有采取防范措施不放过、事故责任者没有受到处理不放过）进行调查、处理，同时，做好事故的善后处理；如因乙方在安全事故发生后，并未采取相应措施导致安全事故及人员事故扩大的，以及造成甲方现场产生的经济损失的，由乙方承担所有责任，甲方将保留对其追究法律责任的权利；</w:t>
      </w:r>
    </w:p>
    <w:p w14:paraId="6ED3C790">
      <w:pPr>
        <w:spacing w:before="156" w:beforeLines="50" w:after="156" w:afterLines="50" w:line="360" w:lineRule="auto"/>
        <w:ind w:firstLine="420" w:firstLineChars="200"/>
        <w:contextualSpacing/>
        <w:rPr>
          <w:rFonts w:hint="eastAsia" w:ascii="宋体" w:hAnsi="宋体"/>
        </w:rPr>
      </w:pPr>
      <w:r>
        <w:rPr>
          <w:rFonts w:hint="eastAsia" w:ascii="宋体" w:hAnsi="宋体"/>
        </w:rPr>
        <w:t>5.1</w:t>
      </w:r>
      <w:r>
        <w:rPr>
          <w:rFonts w:hint="eastAsia" w:ascii="宋体" w:hAnsi="宋体"/>
          <w:lang w:val="en-US" w:eastAsia="zh-CN"/>
        </w:rPr>
        <w:t>6</w:t>
      </w:r>
      <w:r>
        <w:rPr>
          <w:rFonts w:hint="eastAsia" w:ascii="宋体" w:hAnsi="宋体"/>
        </w:rPr>
        <w:t>乙方在</w:t>
      </w:r>
      <w:r>
        <w:rPr>
          <w:rFonts w:hint="eastAsia" w:ascii="宋体" w:hAnsi="宋体"/>
          <w:lang w:val="en-US" w:eastAsia="zh-CN"/>
        </w:rPr>
        <w:t>装卸货、运输等作业</w:t>
      </w:r>
      <w:r>
        <w:rPr>
          <w:rFonts w:hint="eastAsia" w:ascii="宋体" w:hAnsi="宋体"/>
        </w:rPr>
        <w:t>过程中必须加强安全管理，由于管理不到位造成安全事故发生，乙方必须承担全部责任，并承担由此给甲方</w:t>
      </w:r>
      <w:r>
        <w:rPr>
          <w:rFonts w:hint="eastAsia" w:ascii="宋体" w:hAnsi="宋体"/>
          <w:lang w:val="en-US" w:eastAsia="zh-CN"/>
        </w:rPr>
        <w:t>或甲方客户（产废单位）</w:t>
      </w:r>
      <w:r>
        <w:rPr>
          <w:rFonts w:hint="eastAsia" w:ascii="宋体" w:hAnsi="宋体"/>
        </w:rPr>
        <w:t>造成的经济损失；</w:t>
      </w:r>
    </w:p>
    <w:p w14:paraId="5FD6024A">
      <w:pPr>
        <w:spacing w:before="156" w:beforeLines="50" w:after="156" w:afterLines="50" w:line="360" w:lineRule="auto"/>
        <w:ind w:firstLine="420" w:firstLineChars="200"/>
        <w:contextualSpacing/>
        <w:rPr>
          <w:rFonts w:hint="eastAsia" w:ascii="宋体" w:hAnsi="宋体"/>
        </w:rPr>
      </w:pPr>
      <w:r>
        <w:rPr>
          <w:rFonts w:hint="eastAsia" w:ascii="宋体" w:hAnsi="宋体"/>
        </w:rPr>
        <w:t>5.</w:t>
      </w:r>
      <w:r>
        <w:rPr>
          <w:rFonts w:hint="eastAsia" w:ascii="宋体" w:hAnsi="宋体"/>
          <w:lang w:val="en-US" w:eastAsia="zh-CN"/>
        </w:rPr>
        <w:t>17</w:t>
      </w:r>
      <w:r>
        <w:rPr>
          <w:rFonts w:hint="eastAsia" w:ascii="宋体" w:hAnsi="宋体"/>
        </w:rPr>
        <w:t xml:space="preserve"> 乙方应如实</w:t>
      </w:r>
      <w:r>
        <w:rPr>
          <w:rFonts w:hint="eastAsia" w:ascii="宋体" w:hAnsi="宋体"/>
          <w:lang w:val="en-US" w:eastAsia="zh-CN"/>
        </w:rPr>
        <w:t>地</w:t>
      </w:r>
      <w:r>
        <w:rPr>
          <w:rFonts w:hint="eastAsia" w:ascii="宋体" w:hAnsi="宋体"/>
        </w:rPr>
        <w:t>向上岗人员告知作业现场及岗位存在的危险因素、防范措施和应急处理措施；</w:t>
      </w:r>
    </w:p>
    <w:p w14:paraId="235B7AEB">
      <w:pPr>
        <w:spacing w:before="156" w:beforeLines="50" w:after="156" w:afterLines="50" w:line="360" w:lineRule="auto"/>
        <w:ind w:firstLine="420" w:firstLineChars="200"/>
        <w:contextualSpacing/>
        <w:rPr>
          <w:rFonts w:hint="eastAsia" w:ascii="宋体" w:hAnsi="宋体"/>
        </w:rPr>
      </w:pPr>
      <w:r>
        <w:rPr>
          <w:rFonts w:hint="eastAsia" w:ascii="宋体" w:hAnsi="宋体"/>
        </w:rPr>
        <w:t>5.</w:t>
      </w:r>
      <w:r>
        <w:rPr>
          <w:rFonts w:hint="eastAsia" w:ascii="宋体" w:hAnsi="宋体"/>
          <w:lang w:val="en-US" w:eastAsia="zh-CN"/>
        </w:rPr>
        <w:t>18</w:t>
      </w:r>
      <w:r>
        <w:rPr>
          <w:rFonts w:hint="eastAsia" w:ascii="宋体" w:hAnsi="宋体"/>
        </w:rPr>
        <w:t xml:space="preserve"> 乙方必须做好作业现场各类车辆的交通安全工作，杜绝超速、超载、无证驾驶、酒后驾驶、疲劳驾驶等违章行为的发生；</w:t>
      </w:r>
    </w:p>
    <w:p w14:paraId="5280BA32">
      <w:pPr>
        <w:spacing w:before="156" w:beforeLines="50" w:after="156" w:afterLines="50" w:line="360" w:lineRule="auto"/>
        <w:ind w:firstLine="420" w:firstLineChars="200"/>
        <w:contextualSpacing/>
        <w:rPr>
          <w:rFonts w:hint="eastAsia" w:ascii="宋体" w:hAnsi="宋体"/>
        </w:rPr>
      </w:pPr>
      <w:r>
        <w:rPr>
          <w:rFonts w:hint="eastAsia" w:ascii="宋体" w:hAnsi="宋体"/>
        </w:rPr>
        <w:t>5.</w:t>
      </w:r>
      <w:r>
        <w:rPr>
          <w:rFonts w:hint="eastAsia" w:ascii="宋体" w:hAnsi="宋体"/>
          <w:lang w:val="en-US" w:eastAsia="zh-CN"/>
        </w:rPr>
        <w:t>19</w:t>
      </w:r>
      <w:r>
        <w:rPr>
          <w:rFonts w:hint="eastAsia" w:ascii="宋体" w:hAnsi="宋体"/>
        </w:rPr>
        <w:t xml:space="preserve"> 乙方应加强</w:t>
      </w:r>
      <w:r>
        <w:rPr>
          <w:rFonts w:hint="eastAsia" w:ascii="宋体" w:hAnsi="宋体"/>
          <w:lang w:val="en-US" w:eastAsia="zh-CN"/>
        </w:rPr>
        <w:t>收运、装卸、运输过程的安全</w:t>
      </w:r>
      <w:r>
        <w:rPr>
          <w:rFonts w:hint="eastAsia" w:ascii="宋体" w:hAnsi="宋体"/>
        </w:rPr>
        <w:t>管理，严禁</w:t>
      </w:r>
      <w:r>
        <w:rPr>
          <w:rFonts w:hint="eastAsia" w:ascii="宋体" w:hAnsi="宋体"/>
          <w:lang w:val="en-US" w:eastAsia="zh-CN"/>
        </w:rPr>
        <w:t>无资质及未经培训的</w:t>
      </w:r>
      <w:r>
        <w:rPr>
          <w:rFonts w:hint="eastAsia" w:ascii="宋体" w:hAnsi="宋体"/>
        </w:rPr>
        <w:t>人员</w:t>
      </w:r>
      <w:r>
        <w:rPr>
          <w:rFonts w:hint="eastAsia" w:ascii="宋体" w:hAnsi="宋体"/>
          <w:lang w:val="en-US" w:eastAsia="zh-CN"/>
        </w:rPr>
        <w:t>参与工作</w:t>
      </w:r>
      <w:r>
        <w:rPr>
          <w:rFonts w:hint="eastAsia" w:ascii="宋体" w:hAnsi="宋体"/>
        </w:rPr>
        <w:t>，</w:t>
      </w:r>
      <w:r>
        <w:rPr>
          <w:rFonts w:hint="eastAsia" w:ascii="宋体" w:hAnsi="宋体"/>
          <w:lang w:val="en-US" w:eastAsia="zh-CN"/>
        </w:rPr>
        <w:t>确保整个工作过程安全、合法合规</w:t>
      </w:r>
      <w:r>
        <w:rPr>
          <w:rFonts w:hint="eastAsia" w:ascii="宋体" w:hAnsi="宋体"/>
        </w:rPr>
        <w:t>；</w:t>
      </w:r>
    </w:p>
    <w:p w14:paraId="6E073C68">
      <w:pPr>
        <w:spacing w:before="156" w:beforeLines="50" w:after="156" w:afterLines="50" w:line="360" w:lineRule="auto"/>
        <w:ind w:firstLine="420" w:firstLineChars="200"/>
        <w:contextualSpacing/>
        <w:rPr>
          <w:rFonts w:hint="eastAsia" w:ascii="宋体" w:hAnsi="宋体"/>
        </w:rPr>
      </w:pPr>
      <w:r>
        <w:rPr>
          <w:rFonts w:hint="eastAsia" w:ascii="宋体" w:hAnsi="宋体"/>
        </w:rPr>
        <w:t>5.</w:t>
      </w:r>
      <w:r>
        <w:rPr>
          <w:rFonts w:hint="eastAsia" w:ascii="宋体" w:hAnsi="宋体"/>
          <w:lang w:val="en-US" w:eastAsia="zh-CN"/>
        </w:rPr>
        <w:t>20</w:t>
      </w:r>
      <w:r>
        <w:rPr>
          <w:rFonts w:hint="eastAsia" w:ascii="宋体" w:hAnsi="宋体"/>
        </w:rPr>
        <w:t xml:space="preserve"> 乙方用于本工程项目的</w:t>
      </w:r>
      <w:r>
        <w:rPr>
          <w:rFonts w:hint="eastAsia" w:ascii="宋体" w:hAnsi="宋体"/>
          <w:lang w:val="en-US" w:eastAsia="zh-CN"/>
        </w:rPr>
        <w:t>作业</w:t>
      </w:r>
      <w:r>
        <w:rPr>
          <w:rFonts w:hint="eastAsia" w:ascii="宋体" w:hAnsi="宋体"/>
        </w:rPr>
        <w:t>机械、工器具、安全防护用具及特种设</w:t>
      </w:r>
      <w:r>
        <w:rPr>
          <w:rFonts w:hint="eastAsia" w:ascii="宋体" w:hAnsi="宋体"/>
          <w:lang w:val="en-US" w:eastAsia="zh-CN"/>
        </w:rPr>
        <w:t>备</w:t>
      </w:r>
      <w:r>
        <w:rPr>
          <w:rFonts w:hint="eastAsia" w:ascii="宋体" w:hAnsi="宋体"/>
        </w:rPr>
        <w:t>的数量和质量必须满足</w:t>
      </w:r>
      <w:r>
        <w:rPr>
          <w:rFonts w:hint="eastAsia" w:ascii="宋体" w:hAnsi="宋体"/>
          <w:lang w:val="en-US" w:eastAsia="zh-CN"/>
        </w:rPr>
        <w:t>装卸货、运输等作业</w:t>
      </w:r>
      <w:r>
        <w:rPr>
          <w:rFonts w:hint="eastAsia" w:ascii="宋体" w:hAnsi="宋体"/>
        </w:rPr>
        <w:t>需要，对因使用工器具不当所造成的人员伤害及设备损坏负责；</w:t>
      </w:r>
    </w:p>
    <w:p w14:paraId="1C243D1E">
      <w:pPr>
        <w:spacing w:before="156" w:beforeLines="50" w:after="156" w:afterLines="50" w:line="360" w:lineRule="auto"/>
        <w:ind w:firstLine="420" w:firstLineChars="200"/>
        <w:contextualSpacing/>
        <w:rPr>
          <w:rFonts w:hint="eastAsia" w:ascii="宋体" w:hAnsi="宋体"/>
        </w:rPr>
      </w:pPr>
      <w:r>
        <w:rPr>
          <w:rFonts w:hint="eastAsia" w:ascii="宋体" w:hAnsi="宋体"/>
        </w:rPr>
        <w:t>5.</w:t>
      </w:r>
      <w:r>
        <w:rPr>
          <w:rFonts w:hint="eastAsia" w:ascii="宋体" w:hAnsi="宋体"/>
          <w:lang w:val="en-US" w:eastAsia="zh-CN"/>
        </w:rPr>
        <w:t>21</w:t>
      </w:r>
      <w:r>
        <w:rPr>
          <w:rFonts w:hint="eastAsia" w:ascii="宋体" w:hAnsi="宋体"/>
        </w:rPr>
        <w:t xml:space="preserve"> 乙方的车辆在现场发生意外，造成甲方或其它单位的财产损失或人员伤害等，应依法承担相关的赔偿、治疗等责任；</w:t>
      </w:r>
    </w:p>
    <w:p w14:paraId="5313C456">
      <w:pPr>
        <w:spacing w:before="156" w:beforeLines="50" w:after="156" w:afterLines="50" w:line="360" w:lineRule="auto"/>
        <w:ind w:firstLine="420" w:firstLineChars="200"/>
        <w:contextualSpacing/>
        <w:rPr>
          <w:rFonts w:hint="eastAsia" w:ascii="宋体" w:hAnsi="宋体"/>
        </w:rPr>
      </w:pPr>
      <w:r>
        <w:rPr>
          <w:rFonts w:hint="eastAsia" w:ascii="宋体" w:hAnsi="宋体"/>
        </w:rPr>
        <w:t>5.</w:t>
      </w:r>
      <w:r>
        <w:rPr>
          <w:rFonts w:hint="eastAsia" w:ascii="宋体" w:hAnsi="宋体"/>
          <w:lang w:val="en-US" w:eastAsia="zh-CN"/>
        </w:rPr>
        <w:t>22</w:t>
      </w:r>
      <w:r>
        <w:rPr>
          <w:rFonts w:hint="eastAsia" w:ascii="宋体" w:hAnsi="宋体"/>
        </w:rPr>
        <w:t xml:space="preserve"> 如因乙方采取的安全措施不当，或违反有关安全规程、规定及本协议所列安全事项而造成事故的，除依法由甲方或第三方承担责任的，均应由乙方全部承担；</w:t>
      </w:r>
    </w:p>
    <w:p w14:paraId="254E7127">
      <w:pPr>
        <w:spacing w:before="156" w:beforeLines="50" w:after="156" w:afterLines="50" w:line="360" w:lineRule="auto"/>
        <w:ind w:firstLine="420" w:firstLineChars="200"/>
        <w:contextualSpacing/>
        <w:rPr>
          <w:rFonts w:hint="eastAsia" w:ascii="宋体" w:hAnsi="宋体"/>
        </w:rPr>
      </w:pPr>
      <w:r>
        <w:rPr>
          <w:rFonts w:hint="eastAsia" w:ascii="宋体" w:hAnsi="宋体"/>
        </w:rPr>
        <w:t>5.</w:t>
      </w:r>
      <w:r>
        <w:rPr>
          <w:rFonts w:hint="eastAsia" w:ascii="宋体" w:hAnsi="宋体"/>
          <w:lang w:val="en-US" w:eastAsia="zh-CN"/>
        </w:rPr>
        <w:t>23</w:t>
      </w:r>
      <w:r>
        <w:rPr>
          <w:rFonts w:hint="eastAsia" w:ascii="宋体" w:hAnsi="宋体"/>
        </w:rPr>
        <w:t xml:space="preserve"> 乙方应确保</w:t>
      </w:r>
      <w:r>
        <w:rPr>
          <w:rFonts w:hint="eastAsia" w:ascii="宋体" w:hAnsi="宋体"/>
          <w:lang w:val="en-US" w:eastAsia="zh-CN"/>
        </w:rPr>
        <w:t>作业</w:t>
      </w:r>
      <w:r>
        <w:rPr>
          <w:rFonts w:hint="eastAsia" w:ascii="宋体" w:hAnsi="宋体"/>
        </w:rPr>
        <w:t>人员身体健康，特殊工种严格执行国家关于年龄的限制。</w:t>
      </w:r>
    </w:p>
    <w:p w14:paraId="35A4BD36">
      <w:pPr>
        <w:spacing w:before="156" w:beforeLines="50" w:after="156" w:afterLines="50" w:line="360" w:lineRule="auto"/>
        <w:ind w:firstLine="420" w:firstLineChars="200"/>
        <w:contextualSpacing/>
        <w:rPr>
          <w:rFonts w:hint="eastAsia" w:ascii="宋体" w:hAnsi="宋体"/>
        </w:rPr>
      </w:pPr>
      <w:r>
        <w:rPr>
          <w:rFonts w:hint="eastAsia" w:ascii="宋体" w:hAnsi="宋体"/>
        </w:rPr>
        <w:t>第六条 违约处理</w:t>
      </w:r>
    </w:p>
    <w:p w14:paraId="56F276AB">
      <w:pPr>
        <w:spacing w:before="156" w:beforeLines="50" w:after="156" w:afterLines="50" w:line="360" w:lineRule="auto"/>
        <w:ind w:firstLine="420" w:firstLineChars="200"/>
        <w:contextualSpacing/>
        <w:rPr>
          <w:rFonts w:hint="eastAsia" w:ascii="宋体" w:hAnsi="宋体"/>
        </w:rPr>
      </w:pPr>
      <w:r>
        <w:rPr>
          <w:rFonts w:hint="eastAsia" w:ascii="宋体" w:hAnsi="宋体"/>
        </w:rPr>
        <w:t>6.1 乙方在签订本协议后，甲方相关部门如发现在</w:t>
      </w:r>
      <w:r>
        <w:rPr>
          <w:rFonts w:hint="eastAsia" w:ascii="宋体" w:hAnsi="宋体"/>
          <w:lang w:val="en-US" w:eastAsia="zh-CN"/>
        </w:rPr>
        <w:t>甲方或甲方客户（产废单位）的现场或装卸货、运输期间，</w:t>
      </w:r>
      <w:r>
        <w:rPr>
          <w:rFonts w:hint="eastAsia" w:ascii="宋体" w:hAnsi="宋体"/>
        </w:rPr>
        <w:t>乙方出现以下违反甲方安全规定以及发生“三违”行为（即</w:t>
      </w:r>
      <w:r>
        <w:rPr>
          <w:rFonts w:hint="eastAsia" w:ascii="宋体" w:hAnsi="宋体"/>
          <w:lang w:eastAsia="zh-CN"/>
        </w:rPr>
        <w:t>“</w:t>
      </w:r>
      <w:r>
        <w:rPr>
          <w:rFonts w:hint="eastAsia" w:ascii="宋体" w:hAnsi="宋体"/>
        </w:rPr>
        <w:t>违章指挥、违章操作、违反劳动纪律”）的，甲方有权依据本协议和甲方</w:t>
      </w:r>
      <w:r>
        <w:rPr>
          <w:rFonts w:hint="eastAsia" w:ascii="宋体" w:hAnsi="宋体"/>
          <w:lang w:val="en-US" w:eastAsia="zh-CN"/>
        </w:rPr>
        <w:t>或甲方客户（产废单位）的</w:t>
      </w:r>
      <w:r>
        <w:rPr>
          <w:rFonts w:hint="eastAsia" w:ascii="宋体" w:hAnsi="宋体"/>
        </w:rPr>
        <w:t>相关安全管理制度对乙方进行处罚；</w:t>
      </w:r>
    </w:p>
    <w:p w14:paraId="1EB7B3EE">
      <w:pPr>
        <w:spacing w:before="156" w:beforeLines="50" w:after="156" w:afterLines="50" w:line="360" w:lineRule="auto"/>
        <w:ind w:firstLine="420" w:firstLineChars="200"/>
        <w:contextualSpacing/>
        <w:rPr>
          <w:rFonts w:hint="eastAsia" w:ascii="宋体" w:hAnsi="宋体"/>
        </w:rPr>
      </w:pPr>
      <w:r>
        <w:rPr>
          <w:rFonts w:hint="eastAsia" w:ascii="宋体" w:hAnsi="宋体"/>
        </w:rPr>
        <w:t>6.</w:t>
      </w:r>
      <w:r>
        <w:rPr>
          <w:rFonts w:hint="eastAsia" w:ascii="宋体" w:hAnsi="宋体"/>
          <w:lang w:val="en-US" w:eastAsia="zh-CN"/>
        </w:rPr>
        <w:t>2</w:t>
      </w:r>
      <w:r>
        <w:rPr>
          <w:rFonts w:hint="eastAsia" w:ascii="宋体" w:hAnsi="宋体"/>
        </w:rPr>
        <w:t xml:space="preserve"> 处罚细则</w:t>
      </w:r>
    </w:p>
    <w:p w14:paraId="5EE28F3D">
      <w:pPr>
        <w:spacing w:before="156" w:beforeLines="50" w:after="156" w:afterLines="50" w:line="360" w:lineRule="auto"/>
        <w:ind w:firstLine="420" w:firstLineChars="200"/>
        <w:contextualSpacing/>
        <w:rPr>
          <w:rFonts w:hint="eastAsia" w:ascii="宋体" w:hAnsi="宋体"/>
        </w:rPr>
      </w:pPr>
      <w:r>
        <w:rPr>
          <w:rFonts w:hint="eastAsia" w:ascii="宋体" w:hAnsi="宋体"/>
        </w:rPr>
        <w:t>6.</w:t>
      </w:r>
      <w:r>
        <w:rPr>
          <w:rFonts w:hint="eastAsia" w:ascii="宋体" w:hAnsi="宋体"/>
          <w:lang w:val="en-US" w:eastAsia="zh-CN"/>
        </w:rPr>
        <w:t>2</w:t>
      </w:r>
      <w:r>
        <w:rPr>
          <w:rFonts w:hint="eastAsia" w:ascii="宋体" w:hAnsi="宋体"/>
        </w:rPr>
        <w:t>.1安全文明</w:t>
      </w:r>
      <w:r>
        <w:rPr>
          <w:rFonts w:hint="eastAsia" w:ascii="宋体" w:hAnsi="宋体"/>
          <w:lang w:val="en-US" w:eastAsia="zh-CN"/>
        </w:rPr>
        <w:t>作业</w:t>
      </w:r>
      <w:r>
        <w:rPr>
          <w:rFonts w:hint="eastAsia" w:ascii="宋体" w:hAnsi="宋体"/>
        </w:rPr>
        <w:t>违约处理</w:t>
      </w:r>
    </w:p>
    <w:p w14:paraId="609C2A85">
      <w:pPr>
        <w:spacing w:before="156" w:beforeLines="50" w:after="156" w:afterLines="50" w:line="360" w:lineRule="auto"/>
        <w:ind w:firstLine="420" w:firstLineChars="200"/>
        <w:contextualSpacing/>
        <w:rPr>
          <w:rFonts w:hint="eastAsia" w:ascii="宋体" w:hAnsi="宋体"/>
        </w:rPr>
      </w:pPr>
      <w:r>
        <w:rPr>
          <w:rFonts w:hint="eastAsia" w:ascii="宋体" w:hAnsi="宋体"/>
        </w:rPr>
        <w:t>详见《EHS管理处罚细则》（附件1）管理规定。</w:t>
      </w:r>
    </w:p>
    <w:p w14:paraId="1D4DB419">
      <w:pPr>
        <w:spacing w:before="156" w:beforeLines="50" w:after="156" w:afterLines="50" w:line="360" w:lineRule="auto"/>
        <w:ind w:firstLine="420" w:firstLineChars="200"/>
        <w:contextualSpacing/>
        <w:rPr>
          <w:rFonts w:hint="eastAsia" w:ascii="宋体" w:hAnsi="宋体"/>
        </w:rPr>
      </w:pPr>
      <w:r>
        <w:rPr>
          <w:rFonts w:hint="eastAsia" w:ascii="宋体" w:hAnsi="宋体"/>
        </w:rPr>
        <w:t>6.</w:t>
      </w:r>
      <w:r>
        <w:rPr>
          <w:rFonts w:hint="eastAsia" w:ascii="宋体" w:hAnsi="宋体"/>
          <w:lang w:val="en-US" w:eastAsia="zh-CN"/>
        </w:rPr>
        <w:t>2</w:t>
      </w:r>
      <w:r>
        <w:rPr>
          <w:rFonts w:hint="eastAsia" w:ascii="宋体" w:hAnsi="宋体"/>
        </w:rPr>
        <w:t>.2 事故违约处理</w:t>
      </w:r>
    </w:p>
    <w:p w14:paraId="020DCA5F">
      <w:pPr>
        <w:spacing w:before="156" w:beforeLines="50" w:after="156" w:afterLines="50" w:line="360" w:lineRule="auto"/>
        <w:ind w:firstLine="420" w:firstLineChars="200"/>
        <w:contextualSpacing/>
        <w:rPr>
          <w:rFonts w:hint="eastAsia" w:ascii="宋体" w:hAnsi="宋体"/>
        </w:rPr>
      </w:pPr>
      <w:r>
        <w:rPr>
          <w:rFonts w:hint="eastAsia" w:ascii="宋体" w:hAnsi="宋体"/>
        </w:rPr>
        <w:t>详见《事故处罚实施细则》管理规定（附件2）。</w:t>
      </w:r>
    </w:p>
    <w:p w14:paraId="03D2BF8D">
      <w:pPr>
        <w:spacing w:before="156" w:beforeLines="50" w:after="156" w:afterLines="50" w:line="360" w:lineRule="auto"/>
        <w:ind w:firstLine="420" w:firstLineChars="200"/>
        <w:contextualSpacing/>
        <w:rPr>
          <w:rFonts w:hint="eastAsia" w:ascii="宋体" w:hAnsi="宋体"/>
        </w:rPr>
      </w:pPr>
      <w:r>
        <w:rPr>
          <w:rFonts w:hint="eastAsia" w:ascii="宋体" w:hAnsi="宋体"/>
        </w:rPr>
        <w:t>第七条 协议生效与终止</w:t>
      </w:r>
    </w:p>
    <w:p w14:paraId="2B641F18">
      <w:pPr>
        <w:spacing w:before="156" w:beforeLines="50" w:after="156" w:afterLines="50" w:line="360" w:lineRule="auto"/>
        <w:ind w:firstLine="420" w:firstLineChars="200"/>
        <w:contextualSpacing/>
        <w:rPr>
          <w:rFonts w:hint="eastAsia" w:ascii="宋体" w:hAnsi="宋体"/>
        </w:rPr>
      </w:pPr>
      <w:r>
        <w:rPr>
          <w:rFonts w:hint="eastAsia" w:ascii="宋体" w:hAnsi="宋体"/>
        </w:rPr>
        <w:t>7.1 本协议从</w:t>
      </w:r>
      <w:r>
        <w:rPr>
          <w:rFonts w:hint="eastAsia" w:ascii="宋体" w:hAnsi="宋体"/>
          <w:lang w:val="en-US" w:eastAsia="zh-CN"/>
        </w:rPr>
        <w:t>签订之日</w:t>
      </w:r>
      <w:r>
        <w:rPr>
          <w:rFonts w:hint="eastAsia" w:ascii="宋体" w:hAnsi="宋体"/>
        </w:rPr>
        <w:t>起生效，双方共同监督执行，</w:t>
      </w:r>
      <w:r>
        <w:rPr>
          <w:rFonts w:hint="eastAsia" w:ascii="宋体" w:hAnsi="宋体"/>
          <w:lang w:val="en-US" w:eastAsia="zh-CN"/>
        </w:rPr>
        <w:t>原合同终止</w:t>
      </w:r>
      <w:r>
        <w:rPr>
          <w:rFonts w:hint="eastAsia" w:ascii="宋体" w:hAnsi="宋体"/>
        </w:rPr>
        <w:t>后</w:t>
      </w:r>
      <w:r>
        <w:rPr>
          <w:rFonts w:hint="eastAsia" w:ascii="宋体" w:hAnsi="宋体"/>
          <w:lang w:val="en-US" w:eastAsia="zh-CN"/>
        </w:rPr>
        <w:t>本协议</w:t>
      </w:r>
      <w:r>
        <w:rPr>
          <w:rFonts w:hint="eastAsia" w:ascii="宋体" w:hAnsi="宋体"/>
        </w:rPr>
        <w:t>自行终止。如乙方在</w:t>
      </w:r>
      <w:r>
        <w:rPr>
          <w:rFonts w:hint="eastAsia" w:ascii="宋体" w:hAnsi="宋体"/>
          <w:lang w:val="en-US" w:eastAsia="zh-CN"/>
        </w:rPr>
        <w:t>装卸货、运输过程</w:t>
      </w:r>
      <w:r>
        <w:rPr>
          <w:rFonts w:hint="eastAsia" w:ascii="宋体" w:hAnsi="宋体"/>
        </w:rPr>
        <w:t>中不履行本协议的约定，违反安全</w:t>
      </w:r>
      <w:r>
        <w:rPr>
          <w:rFonts w:hint="eastAsia" w:ascii="宋体" w:hAnsi="宋体"/>
          <w:lang w:val="en-US" w:eastAsia="zh-CN"/>
        </w:rPr>
        <w:t>作业</w:t>
      </w:r>
      <w:r>
        <w:rPr>
          <w:rFonts w:hint="eastAsia" w:ascii="宋体" w:hAnsi="宋体"/>
        </w:rPr>
        <w:t>的有关管理规定，对甲方提出的警告、停工整顿拒不执行的，甲方有权解除原合同，并无须向乙方承担违约责任。</w:t>
      </w:r>
    </w:p>
    <w:p w14:paraId="5669D40D">
      <w:pPr>
        <w:spacing w:before="156" w:beforeLines="50" w:after="156" w:afterLines="50" w:line="360" w:lineRule="auto"/>
        <w:ind w:firstLine="420" w:firstLineChars="200"/>
        <w:contextualSpacing/>
        <w:rPr>
          <w:rFonts w:hint="eastAsia" w:ascii="宋体" w:hAnsi="宋体"/>
        </w:rPr>
      </w:pPr>
      <w:r>
        <w:rPr>
          <w:rFonts w:hint="eastAsia" w:ascii="宋体" w:hAnsi="宋体"/>
        </w:rPr>
        <w:t>第八条 其它要求</w:t>
      </w:r>
    </w:p>
    <w:p w14:paraId="4C73E7D1">
      <w:pPr>
        <w:spacing w:before="156" w:beforeLines="50" w:after="156" w:afterLines="50" w:line="360" w:lineRule="auto"/>
        <w:ind w:firstLine="420" w:firstLineChars="200"/>
        <w:contextualSpacing/>
        <w:rPr>
          <w:rFonts w:hint="eastAsia" w:ascii="宋体" w:hAnsi="宋体"/>
        </w:rPr>
      </w:pPr>
      <w:r>
        <w:rPr>
          <w:rFonts w:hint="eastAsia" w:ascii="宋体" w:hAnsi="宋体"/>
        </w:rPr>
        <w:t>8.1 本协议履行过程中未尽事宜，按甲方有关规章制度执行。</w:t>
      </w:r>
    </w:p>
    <w:p w14:paraId="2A84322A">
      <w:pPr>
        <w:spacing w:before="156" w:beforeLines="50" w:after="156" w:afterLines="50" w:line="360" w:lineRule="auto"/>
        <w:ind w:firstLine="420" w:firstLineChars="200"/>
        <w:contextualSpacing/>
        <w:rPr>
          <w:rFonts w:hint="eastAsia" w:ascii="宋体" w:hAnsi="宋体"/>
        </w:rPr>
      </w:pPr>
      <w:r>
        <w:rPr>
          <w:rFonts w:hint="eastAsia" w:ascii="宋体" w:hAnsi="宋体"/>
        </w:rPr>
        <w:t>8.2 本协议一式</w:t>
      </w:r>
      <w:r>
        <w:rPr>
          <w:rFonts w:hint="eastAsia" w:ascii="宋体" w:hAnsi="宋体"/>
          <w:lang w:val="en-US" w:eastAsia="zh-CN"/>
        </w:rPr>
        <w:t>柒</w:t>
      </w:r>
      <w:r>
        <w:rPr>
          <w:rFonts w:hint="eastAsia" w:ascii="宋体" w:hAnsi="宋体"/>
        </w:rPr>
        <w:t>份，均具有同等法律效力，协议甲方执</w:t>
      </w:r>
      <w:r>
        <w:rPr>
          <w:rFonts w:hint="eastAsia" w:ascii="宋体" w:hAnsi="宋体"/>
          <w:lang w:val="en-US" w:eastAsia="zh-CN"/>
        </w:rPr>
        <w:t>肆</w:t>
      </w:r>
      <w:r>
        <w:rPr>
          <w:rFonts w:hint="eastAsia" w:ascii="宋体" w:hAnsi="宋体"/>
        </w:rPr>
        <w:t>份，乙方执</w:t>
      </w:r>
      <w:r>
        <w:rPr>
          <w:rFonts w:hint="eastAsia" w:ascii="宋体" w:hAnsi="宋体"/>
          <w:lang w:val="en-US" w:eastAsia="zh-CN"/>
        </w:rPr>
        <w:t>叁</w:t>
      </w:r>
      <w:r>
        <w:rPr>
          <w:rFonts w:hint="eastAsia" w:ascii="宋体" w:hAnsi="宋体"/>
        </w:rPr>
        <w:t>份。由双方法定代表人签章或其授权代表人签署并盖章后生效。</w:t>
      </w:r>
    </w:p>
    <w:p w14:paraId="17D9655B">
      <w:pPr>
        <w:spacing w:before="156" w:beforeLines="50" w:after="156" w:afterLines="50" w:line="360" w:lineRule="auto"/>
        <w:ind w:firstLine="420" w:firstLineChars="200"/>
        <w:contextualSpacing/>
        <w:rPr>
          <w:rFonts w:hint="eastAsia" w:ascii="宋体" w:hAnsi="宋体"/>
        </w:rPr>
      </w:pPr>
    </w:p>
    <w:p w14:paraId="09F89716">
      <w:pPr>
        <w:spacing w:before="156" w:beforeLines="50" w:after="156" w:afterLines="50" w:line="360" w:lineRule="auto"/>
        <w:ind w:firstLine="420" w:firstLineChars="200"/>
        <w:contextualSpacing/>
        <w:rPr>
          <w:rFonts w:hint="eastAsia" w:ascii="宋体" w:hAnsi="宋体"/>
        </w:rPr>
      </w:pPr>
      <w:r>
        <w:rPr>
          <w:rFonts w:hint="eastAsia" w:ascii="宋体" w:hAnsi="宋体"/>
        </w:rPr>
        <w:t>（以下无正文）</w:t>
      </w:r>
    </w:p>
    <w:p w14:paraId="7FE27146">
      <w:pPr>
        <w:spacing w:before="156" w:beforeLines="50" w:after="156" w:afterLines="50" w:line="360" w:lineRule="auto"/>
        <w:ind w:firstLine="420" w:firstLineChars="200"/>
        <w:contextualSpacing/>
        <w:rPr>
          <w:rFonts w:hint="eastAsia" w:ascii="宋体" w:hAnsi="宋体"/>
        </w:rPr>
      </w:pPr>
    </w:p>
    <w:p w14:paraId="354C458B">
      <w:pPr>
        <w:spacing w:before="156" w:beforeLines="50" w:after="156" w:afterLines="50" w:line="360" w:lineRule="auto"/>
        <w:ind w:firstLine="420" w:firstLineChars="200"/>
        <w:contextualSpacing/>
        <w:rPr>
          <w:rFonts w:hint="eastAsia" w:ascii="宋体" w:hAnsi="宋体"/>
        </w:rPr>
      </w:pPr>
      <w:r>
        <w:rPr>
          <w:rFonts w:hint="eastAsia" w:ascii="宋体" w:hAnsi="宋体"/>
        </w:rPr>
        <w:t xml:space="preserve">甲方（盖章）：                 乙方（盖章）： </w:t>
      </w:r>
    </w:p>
    <w:p w14:paraId="279D31E2">
      <w:pPr>
        <w:spacing w:before="156" w:beforeLines="50" w:after="156" w:afterLines="50" w:line="360" w:lineRule="auto"/>
        <w:ind w:firstLine="420" w:firstLineChars="200"/>
        <w:contextualSpacing/>
        <w:rPr>
          <w:rFonts w:hint="eastAsia" w:ascii="宋体" w:hAnsi="宋体"/>
        </w:rPr>
      </w:pPr>
      <w:r>
        <w:rPr>
          <w:rFonts w:hint="eastAsia" w:ascii="宋体" w:hAnsi="宋体"/>
        </w:rPr>
        <w:t>法定代表人（授权代表）：</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法定代表人（授权代表）：</w:t>
      </w:r>
    </w:p>
    <w:p w14:paraId="4C0ABA8E">
      <w:pPr>
        <w:spacing w:before="156" w:beforeLines="50" w:after="156" w:afterLines="50" w:line="360" w:lineRule="auto"/>
        <w:ind w:firstLine="420" w:firstLineChars="200"/>
        <w:contextualSpacing/>
        <w:rPr>
          <w:rFonts w:hint="eastAsia" w:ascii="宋体" w:hAnsi="宋体"/>
        </w:rPr>
      </w:pPr>
      <w:r>
        <w:rPr>
          <w:rFonts w:hint="eastAsia" w:ascii="宋体" w:hAnsi="宋体"/>
        </w:rPr>
        <w:t>签约日期：</w:t>
      </w:r>
      <w:r>
        <w:rPr>
          <w:rFonts w:hint="eastAsia" w:ascii="宋体" w:hAnsi="宋体"/>
          <w:lang w:val="en-US" w:eastAsia="zh-CN"/>
        </w:rPr>
        <w:t>2026</w:t>
      </w:r>
      <w:r>
        <w:rPr>
          <w:rFonts w:hint="eastAsia" w:ascii="宋体" w:hAnsi="宋体"/>
        </w:rPr>
        <w:t>年   月   日</w:t>
      </w:r>
      <w:r>
        <w:rPr>
          <w:rFonts w:hint="eastAsia" w:ascii="宋体" w:hAnsi="宋体"/>
          <w:lang w:val="en-US" w:eastAsia="zh-CN"/>
        </w:rPr>
        <w:t xml:space="preserve">  </w:t>
      </w:r>
      <w:r>
        <w:rPr>
          <w:rFonts w:hint="eastAsia" w:ascii="宋体" w:hAnsi="宋体"/>
        </w:rPr>
        <w:t xml:space="preserve">    签约日期：   年   月   日</w:t>
      </w:r>
    </w:p>
    <w:p w14:paraId="74EFBACF">
      <w:pPr>
        <w:spacing w:before="156" w:beforeLines="50" w:after="156" w:afterLines="50" w:line="360" w:lineRule="auto"/>
        <w:ind w:firstLine="420" w:firstLineChars="200"/>
        <w:contextualSpacing/>
        <w:rPr>
          <w:rFonts w:hint="eastAsia" w:ascii="宋体" w:hAnsi="宋体"/>
        </w:rPr>
      </w:pPr>
    </w:p>
    <w:p w14:paraId="5722975A">
      <w:pPr>
        <w:spacing w:before="156" w:beforeLines="50" w:after="156" w:afterLines="50" w:line="360" w:lineRule="auto"/>
        <w:ind w:firstLine="420" w:firstLineChars="200"/>
        <w:contextualSpacing/>
        <w:rPr>
          <w:rFonts w:hint="eastAsia" w:ascii="宋体" w:hAnsi="宋体"/>
        </w:rPr>
      </w:pPr>
    </w:p>
    <w:p w14:paraId="32174540">
      <w:pPr>
        <w:spacing w:before="156" w:beforeLines="50" w:after="156" w:afterLines="50" w:line="360" w:lineRule="auto"/>
        <w:ind w:firstLine="420" w:firstLineChars="200"/>
        <w:contextualSpacing/>
        <w:rPr>
          <w:rFonts w:hint="eastAsia" w:ascii="宋体" w:hAnsi="宋体"/>
        </w:rPr>
      </w:pPr>
      <w:r>
        <w:rPr>
          <w:rFonts w:hint="eastAsia" w:ascii="宋体" w:hAnsi="宋体"/>
        </w:rPr>
        <w:br w:type="page"/>
      </w:r>
    </w:p>
    <w:p w14:paraId="34CF1E24">
      <w:pPr>
        <w:spacing w:before="156" w:beforeLines="50" w:after="156" w:afterLines="50" w:line="360" w:lineRule="auto"/>
        <w:ind w:firstLine="0" w:firstLineChars="0"/>
        <w:contextualSpacing/>
        <w:rPr>
          <w:rFonts w:hint="eastAsia" w:ascii="宋体" w:hAnsi="宋体"/>
          <w:b/>
          <w:bCs/>
          <w:lang w:val="en-US" w:eastAsia="zh-CN"/>
        </w:rPr>
      </w:pPr>
      <w:r>
        <w:rPr>
          <w:rFonts w:hint="eastAsia" w:ascii="宋体" w:hAnsi="宋体"/>
          <w:b/>
          <w:bCs/>
          <w:lang w:val="en-US" w:eastAsia="zh-CN"/>
        </w:rPr>
        <w:t>安全管理协议书（附件1）：</w:t>
      </w:r>
    </w:p>
    <w:p w14:paraId="240AB324">
      <w:pPr>
        <w:snapToGrid/>
        <w:spacing w:before="0" w:beforeLines="0" w:after="0" w:afterLines="0" w:line="300" w:lineRule="auto"/>
        <w:ind w:firstLine="420" w:firstLineChars="200"/>
        <w:contextualSpacing/>
        <w:rPr>
          <w:rFonts w:hint="eastAsia" w:ascii="宋体" w:hAnsi="宋体"/>
        </w:rPr>
      </w:pPr>
      <w:r>
        <w:rPr>
          <w:rFonts w:hint="eastAsia" w:ascii="宋体" w:hAnsi="宋体"/>
        </w:rPr>
        <w:t>EHS管理处罚实施细则</w:t>
      </w:r>
    </w:p>
    <w:p w14:paraId="1456D7D5">
      <w:pPr>
        <w:snapToGrid/>
        <w:spacing w:before="0" w:beforeLines="0" w:after="0" w:afterLines="0" w:line="300" w:lineRule="auto"/>
        <w:ind w:firstLine="420" w:firstLineChars="200"/>
        <w:contextualSpacing/>
        <w:rPr>
          <w:rFonts w:hint="eastAsia" w:ascii="宋体" w:hAnsi="宋体"/>
        </w:rPr>
      </w:pPr>
      <w:r>
        <w:rPr>
          <w:rFonts w:hint="eastAsia" w:ascii="宋体" w:hAnsi="宋体"/>
        </w:rPr>
        <w:t>1. 范围</w:t>
      </w:r>
    </w:p>
    <w:p w14:paraId="1B3426B7">
      <w:pPr>
        <w:snapToGrid/>
        <w:spacing w:before="0" w:beforeLines="0" w:after="0" w:afterLines="0" w:line="300" w:lineRule="auto"/>
        <w:ind w:firstLine="420" w:firstLineChars="200"/>
        <w:contextualSpacing/>
        <w:rPr>
          <w:rFonts w:hint="eastAsia" w:ascii="宋体" w:hAnsi="宋体"/>
        </w:rPr>
      </w:pPr>
      <w:r>
        <w:rPr>
          <w:rFonts w:hint="eastAsia" w:ascii="宋体" w:hAnsi="宋体"/>
        </w:rPr>
        <w:t>1.1 本细则明确了甲方项目现场违反EHS管理的各类行为和现象，规定了处罚的额度。本细则适用于甲方所有标段的项目。</w:t>
      </w:r>
    </w:p>
    <w:p w14:paraId="52F957B7">
      <w:pPr>
        <w:snapToGrid/>
        <w:spacing w:before="0" w:beforeLines="0" w:after="0" w:afterLines="0" w:line="300" w:lineRule="auto"/>
        <w:ind w:firstLine="420" w:firstLineChars="200"/>
        <w:contextualSpacing/>
        <w:rPr>
          <w:rFonts w:hint="eastAsia" w:ascii="宋体" w:hAnsi="宋体"/>
        </w:rPr>
      </w:pPr>
      <w:r>
        <w:rPr>
          <w:rFonts w:hint="eastAsia" w:ascii="宋体" w:hAnsi="宋体"/>
        </w:rPr>
        <w:t>2. 职责</w:t>
      </w:r>
    </w:p>
    <w:p w14:paraId="6E4B97E4">
      <w:pPr>
        <w:snapToGrid/>
        <w:spacing w:before="0" w:beforeLines="0" w:after="0" w:afterLines="0" w:line="300" w:lineRule="auto"/>
        <w:ind w:firstLine="420" w:firstLineChars="200"/>
        <w:contextualSpacing/>
        <w:rPr>
          <w:rFonts w:hint="eastAsia" w:ascii="宋体" w:hAnsi="宋体"/>
        </w:rPr>
      </w:pPr>
      <w:r>
        <w:rPr>
          <w:rFonts w:hint="eastAsia" w:ascii="宋体" w:hAnsi="宋体"/>
        </w:rPr>
        <w:t>2.1 由甲方</w:t>
      </w:r>
      <w:r>
        <w:rPr>
          <w:rFonts w:hint="eastAsia" w:ascii="宋体" w:hAnsi="宋体"/>
          <w:lang w:val="en-US" w:eastAsia="zh-CN"/>
        </w:rPr>
        <w:t>安环等相关部门</w:t>
      </w:r>
      <w:r>
        <w:rPr>
          <w:rFonts w:hint="eastAsia" w:ascii="宋体" w:hAnsi="宋体"/>
        </w:rPr>
        <w:t>有关人员负责对违章行为和现象</w:t>
      </w:r>
      <w:r>
        <w:rPr>
          <w:rFonts w:hint="eastAsia" w:ascii="宋体" w:hAnsi="宋体"/>
          <w:lang w:val="en-US" w:eastAsia="zh-CN"/>
        </w:rPr>
        <w:t>进行</w:t>
      </w:r>
      <w:r>
        <w:rPr>
          <w:rFonts w:hint="eastAsia" w:ascii="宋体" w:hAnsi="宋体"/>
        </w:rPr>
        <w:t>处罚。处罚对象为乙方。</w:t>
      </w:r>
    </w:p>
    <w:p w14:paraId="333F2E0E">
      <w:pPr>
        <w:snapToGrid/>
        <w:spacing w:before="0" w:beforeLines="0" w:after="0" w:afterLines="0" w:line="300" w:lineRule="auto"/>
        <w:ind w:firstLine="420" w:firstLineChars="200"/>
        <w:contextualSpacing/>
        <w:rPr>
          <w:rFonts w:hint="eastAsia" w:ascii="宋体" w:hAnsi="宋体"/>
        </w:rPr>
      </w:pPr>
      <w:r>
        <w:rPr>
          <w:rFonts w:hint="eastAsia" w:ascii="宋体" w:hAnsi="宋体"/>
        </w:rPr>
        <w:t>3. 目的</w:t>
      </w:r>
    </w:p>
    <w:p w14:paraId="2AAEABC8">
      <w:pPr>
        <w:snapToGrid/>
        <w:spacing w:before="0" w:beforeLines="0" w:after="0" w:afterLines="0" w:line="300" w:lineRule="auto"/>
        <w:ind w:firstLine="420" w:firstLineChars="200"/>
        <w:contextualSpacing/>
        <w:rPr>
          <w:rFonts w:hint="eastAsia" w:ascii="宋体" w:hAnsi="宋体"/>
        </w:rPr>
      </w:pPr>
      <w:r>
        <w:rPr>
          <w:rFonts w:hint="eastAsia" w:ascii="宋体" w:hAnsi="宋体"/>
        </w:rPr>
        <w:t>3.1 为加强安全文明</w:t>
      </w:r>
      <w:r>
        <w:rPr>
          <w:rFonts w:hint="eastAsia" w:ascii="宋体" w:hAnsi="宋体"/>
          <w:lang w:val="en-US" w:eastAsia="zh-CN"/>
        </w:rPr>
        <w:t>作业</w:t>
      </w:r>
      <w:r>
        <w:rPr>
          <w:rFonts w:hint="eastAsia" w:ascii="宋体" w:hAnsi="宋体"/>
        </w:rPr>
        <w:t>管理，使违章处理工作有章可循，避免和减少各类人身伤害事故，营造良好的</w:t>
      </w:r>
      <w:r>
        <w:rPr>
          <w:rFonts w:hint="eastAsia" w:ascii="宋体" w:hAnsi="宋体"/>
          <w:lang w:val="en-US" w:eastAsia="zh-CN"/>
        </w:rPr>
        <w:t>装卸货等作业</w:t>
      </w:r>
      <w:r>
        <w:rPr>
          <w:rFonts w:hint="eastAsia" w:ascii="宋体" w:hAnsi="宋体"/>
        </w:rPr>
        <w:t>环境，特制定本细则。下称《细则》。</w:t>
      </w:r>
    </w:p>
    <w:p w14:paraId="721C25E7">
      <w:pPr>
        <w:snapToGrid/>
        <w:spacing w:before="0" w:beforeLines="0" w:after="0" w:afterLines="0" w:line="300" w:lineRule="auto"/>
        <w:ind w:firstLine="420" w:firstLineChars="200"/>
        <w:contextualSpacing/>
        <w:rPr>
          <w:rFonts w:hint="eastAsia" w:ascii="宋体" w:hAnsi="宋体"/>
        </w:rPr>
      </w:pPr>
      <w:r>
        <w:rPr>
          <w:rFonts w:hint="eastAsia" w:ascii="宋体" w:hAnsi="宋体"/>
        </w:rPr>
        <w:t>4. 内容</w:t>
      </w:r>
    </w:p>
    <w:p w14:paraId="065B8AB4">
      <w:pPr>
        <w:snapToGrid/>
        <w:spacing w:before="0" w:beforeLines="0" w:after="0" w:afterLines="0" w:line="300" w:lineRule="auto"/>
        <w:ind w:firstLine="420" w:firstLineChars="200"/>
        <w:contextualSpacing/>
        <w:rPr>
          <w:rFonts w:hint="eastAsia" w:ascii="宋体" w:hAnsi="宋体"/>
        </w:rPr>
      </w:pPr>
      <w:r>
        <w:rPr>
          <w:rFonts w:hint="eastAsia" w:ascii="宋体" w:hAnsi="宋体"/>
        </w:rPr>
        <w:t>4.1 违章的分类</w:t>
      </w:r>
    </w:p>
    <w:p w14:paraId="3FB756E1">
      <w:pPr>
        <w:snapToGrid/>
        <w:spacing w:before="0" w:beforeLines="0" w:after="0" w:afterLines="0" w:line="300" w:lineRule="auto"/>
        <w:ind w:firstLine="420" w:firstLineChars="200"/>
        <w:contextualSpacing/>
        <w:rPr>
          <w:rFonts w:hint="eastAsia" w:ascii="宋体" w:hAnsi="宋体"/>
        </w:rPr>
      </w:pPr>
      <w:r>
        <w:rPr>
          <w:rFonts w:hint="eastAsia" w:ascii="宋体" w:hAnsi="宋体"/>
        </w:rPr>
        <w:t>4.1.1 从生产活动的组织与造成事故直接原因、主要原因及领导原因来区分，违章可分为作业性违章、装置性违章、指挥性违章和违反文明</w:t>
      </w:r>
      <w:r>
        <w:rPr>
          <w:rFonts w:hint="eastAsia" w:ascii="宋体" w:hAnsi="宋体"/>
          <w:lang w:val="en-US" w:eastAsia="zh-CN"/>
        </w:rPr>
        <w:t>作业</w:t>
      </w:r>
      <w:r>
        <w:rPr>
          <w:rFonts w:hint="eastAsia" w:ascii="宋体" w:hAnsi="宋体"/>
        </w:rPr>
        <w:t>规定。</w:t>
      </w:r>
    </w:p>
    <w:p w14:paraId="52C5D8C1">
      <w:pPr>
        <w:snapToGrid/>
        <w:spacing w:before="0" w:beforeLines="0" w:after="0" w:afterLines="0" w:line="300" w:lineRule="auto"/>
        <w:ind w:firstLine="420" w:firstLineChars="200"/>
        <w:contextualSpacing/>
        <w:rPr>
          <w:rFonts w:hint="eastAsia" w:ascii="宋体" w:hAnsi="宋体"/>
        </w:rPr>
      </w:pPr>
      <w:r>
        <w:rPr>
          <w:rFonts w:hint="eastAsia" w:ascii="宋体" w:hAnsi="宋体"/>
        </w:rPr>
        <w:t>4.1.2 从违章者本人的安全技术素质与思想心理、习惯等因素区分，违章可分为习惯违章和偶然性违章二类。</w:t>
      </w:r>
    </w:p>
    <w:p w14:paraId="16351F2D">
      <w:pPr>
        <w:snapToGrid/>
        <w:spacing w:before="0" w:beforeLines="0" w:after="0" w:afterLines="0" w:line="300" w:lineRule="auto"/>
        <w:ind w:firstLine="420" w:firstLineChars="200"/>
        <w:contextualSpacing/>
        <w:rPr>
          <w:rFonts w:hint="eastAsia" w:ascii="宋体" w:hAnsi="宋体"/>
        </w:rPr>
      </w:pPr>
      <w:r>
        <w:rPr>
          <w:rFonts w:hint="eastAsia" w:ascii="宋体" w:hAnsi="宋体"/>
        </w:rPr>
        <w:t>4.2 查处违章的原则</w:t>
      </w:r>
    </w:p>
    <w:p w14:paraId="71E5C08A">
      <w:pPr>
        <w:snapToGrid/>
        <w:spacing w:before="0" w:beforeLines="0" w:after="0" w:afterLines="0" w:line="300" w:lineRule="auto"/>
        <w:ind w:firstLine="420" w:firstLineChars="200"/>
        <w:contextualSpacing/>
        <w:rPr>
          <w:rFonts w:hint="eastAsia" w:ascii="宋体" w:hAnsi="宋体"/>
        </w:rPr>
      </w:pPr>
      <w:r>
        <w:rPr>
          <w:rFonts w:hint="eastAsia" w:ascii="宋体" w:hAnsi="宋体"/>
        </w:rPr>
        <w:t>4.2.1 坚持违章必究的原则，同时按《细则》中所含内容进行一定数额的罚款，做到实事求是，严格执行，谢绝说情。对性质恶劣，拒绝警告、整改、有意延续违章的行为，在原处罚数额的基础上增加2-10倍的处罚。情况紧急时下达停工整顿命令。</w:t>
      </w:r>
    </w:p>
    <w:p w14:paraId="54FB1A0F">
      <w:pPr>
        <w:snapToGrid/>
        <w:spacing w:before="0" w:beforeLines="0" w:after="0" w:afterLines="0" w:line="300" w:lineRule="auto"/>
        <w:ind w:firstLine="420" w:firstLineChars="200"/>
        <w:contextualSpacing/>
        <w:rPr>
          <w:rFonts w:hint="eastAsia" w:ascii="宋体" w:hAnsi="宋体"/>
        </w:rPr>
      </w:pPr>
      <w:r>
        <w:rPr>
          <w:rFonts w:hint="eastAsia" w:ascii="宋体" w:hAnsi="宋体"/>
        </w:rPr>
        <w:t>4.2.2 因违章而导致各类事故的发生，按事故等级对乙方的处罚执行《事故处罚实施细则》</w:t>
      </w:r>
    </w:p>
    <w:p w14:paraId="7FE62191">
      <w:pPr>
        <w:snapToGrid/>
        <w:spacing w:before="0" w:beforeLines="0" w:after="0" w:afterLines="0" w:line="300" w:lineRule="auto"/>
        <w:ind w:firstLine="420" w:firstLineChars="200"/>
        <w:contextualSpacing/>
        <w:rPr>
          <w:rFonts w:hint="eastAsia" w:ascii="宋体" w:hAnsi="宋体"/>
        </w:rPr>
      </w:pPr>
      <w:r>
        <w:rPr>
          <w:rFonts w:hint="eastAsia" w:ascii="宋体" w:hAnsi="宋体"/>
        </w:rPr>
        <w:t>4.3 作业性违章</w:t>
      </w:r>
    </w:p>
    <w:p w14:paraId="16D31F0D">
      <w:pPr>
        <w:snapToGrid/>
        <w:spacing w:before="0" w:beforeLines="0" w:after="0" w:afterLines="0" w:line="300" w:lineRule="auto"/>
        <w:ind w:firstLine="420" w:firstLineChars="200"/>
        <w:contextualSpacing/>
        <w:rPr>
          <w:rFonts w:hint="eastAsia" w:ascii="宋体" w:hAnsi="宋体"/>
        </w:rPr>
      </w:pPr>
      <w:r>
        <w:rPr>
          <w:rFonts w:hint="eastAsia" w:ascii="宋体" w:hAnsi="宋体"/>
        </w:rPr>
        <w:t>4.3.1 作业性违章定义：指在</w:t>
      </w:r>
      <w:r>
        <w:rPr>
          <w:rFonts w:hint="eastAsia" w:ascii="宋体" w:hAnsi="宋体"/>
          <w:lang w:val="en-US" w:eastAsia="zh-CN"/>
        </w:rPr>
        <w:t>装卸货等作业</w:t>
      </w:r>
      <w:r>
        <w:rPr>
          <w:rFonts w:hint="eastAsia" w:ascii="宋体" w:hAnsi="宋体"/>
        </w:rPr>
        <w:t>中违反《</w:t>
      </w:r>
      <w:r>
        <w:rPr>
          <w:rFonts w:hint="eastAsia" w:ascii="宋体" w:hAnsi="宋体"/>
          <w:lang w:val="en-US" w:eastAsia="zh-CN"/>
        </w:rPr>
        <w:t>中华人民共和国</w:t>
      </w:r>
      <w:r>
        <w:rPr>
          <w:rFonts w:hint="eastAsia" w:ascii="宋体" w:hAnsi="宋体"/>
        </w:rPr>
        <w:t>安全生产法》和地方性、行业性的法律法规的规定，违反保证安全施工的各项规定、制度及措施的一切不安全行为。</w:t>
      </w:r>
    </w:p>
    <w:p w14:paraId="09EDAC03">
      <w:pPr>
        <w:snapToGrid/>
        <w:spacing w:before="0" w:beforeLines="0" w:after="0" w:afterLines="0" w:line="300" w:lineRule="auto"/>
        <w:ind w:firstLine="420" w:firstLineChars="200"/>
        <w:contextualSpacing/>
        <w:rPr>
          <w:rFonts w:hint="eastAsia" w:ascii="宋体" w:hAnsi="宋体"/>
        </w:rPr>
      </w:pPr>
      <w:r>
        <w:rPr>
          <w:rFonts w:hint="eastAsia" w:ascii="宋体" w:hAnsi="宋体"/>
        </w:rPr>
        <w:t>4.3.2 作业性违章主要指</w:t>
      </w:r>
      <w:r>
        <w:rPr>
          <w:rFonts w:hint="eastAsia" w:ascii="宋体" w:hAnsi="宋体"/>
          <w:lang w:val="en-US" w:eastAsia="zh-CN"/>
        </w:rPr>
        <w:t>作业</w:t>
      </w:r>
      <w:r>
        <w:rPr>
          <w:rFonts w:hint="eastAsia" w:ascii="宋体" w:hAnsi="宋体"/>
        </w:rPr>
        <w:t>人员个人作业过程中发生的违章。</w:t>
      </w:r>
    </w:p>
    <w:p w14:paraId="380AB824">
      <w:pPr>
        <w:snapToGrid/>
        <w:spacing w:before="0" w:beforeLines="0" w:after="0" w:afterLines="0" w:line="300" w:lineRule="auto"/>
        <w:ind w:firstLine="420" w:firstLineChars="200"/>
        <w:contextualSpacing/>
        <w:rPr>
          <w:rFonts w:hint="eastAsia" w:ascii="宋体" w:hAnsi="宋体"/>
        </w:rPr>
      </w:pPr>
      <w:r>
        <w:rPr>
          <w:rFonts w:hint="eastAsia" w:ascii="宋体" w:hAnsi="宋体"/>
        </w:rPr>
        <w:t>4.4 装置性违章</w:t>
      </w:r>
    </w:p>
    <w:p w14:paraId="3AE7BDF4">
      <w:pPr>
        <w:snapToGrid/>
        <w:spacing w:before="0" w:beforeLines="0" w:after="0" w:afterLines="0" w:line="300" w:lineRule="auto"/>
        <w:ind w:firstLine="420" w:firstLineChars="200"/>
        <w:contextualSpacing/>
        <w:rPr>
          <w:rFonts w:hint="eastAsia" w:ascii="宋体" w:hAnsi="宋体"/>
        </w:rPr>
      </w:pPr>
      <w:r>
        <w:rPr>
          <w:rFonts w:hint="eastAsia" w:ascii="宋体" w:hAnsi="宋体"/>
        </w:rPr>
        <w:t>4.4.1 装置性违章定义：指工作现场的环境、设备、设施及工器具不符合国家、行业、公司有关规定及反事故措施和保证人身安全的各项规定及技术措施的要求，不能保证人身和设备安全的一切不安全状态。</w:t>
      </w:r>
    </w:p>
    <w:p w14:paraId="314738C1">
      <w:pPr>
        <w:snapToGrid/>
        <w:spacing w:before="0" w:beforeLines="0" w:after="0" w:afterLines="0" w:line="300" w:lineRule="auto"/>
        <w:ind w:firstLine="420" w:firstLineChars="200"/>
        <w:contextualSpacing/>
        <w:rPr>
          <w:rFonts w:hint="eastAsia" w:ascii="宋体" w:hAnsi="宋体"/>
        </w:rPr>
      </w:pPr>
      <w:r>
        <w:rPr>
          <w:rFonts w:hint="eastAsia" w:ascii="宋体" w:hAnsi="宋体"/>
        </w:rPr>
        <w:t>4.4.2 装置性违章主要指与生产有关的设备、设施不符合规定要求的违章。</w:t>
      </w:r>
    </w:p>
    <w:p w14:paraId="3BE3A4CB">
      <w:pPr>
        <w:snapToGrid/>
        <w:spacing w:before="0" w:beforeLines="0" w:after="0" w:afterLines="0" w:line="300" w:lineRule="auto"/>
        <w:ind w:firstLine="420" w:firstLineChars="200"/>
        <w:contextualSpacing/>
        <w:rPr>
          <w:rFonts w:hint="eastAsia" w:ascii="宋体" w:hAnsi="宋体"/>
        </w:rPr>
      </w:pPr>
      <w:r>
        <w:rPr>
          <w:rFonts w:hint="eastAsia" w:ascii="宋体" w:hAnsi="宋体"/>
        </w:rPr>
        <w:t>4.5 指挥性违章</w:t>
      </w:r>
    </w:p>
    <w:p w14:paraId="15822536">
      <w:pPr>
        <w:snapToGrid/>
        <w:spacing w:before="0" w:beforeLines="0" w:after="0" w:afterLines="0" w:line="300" w:lineRule="auto"/>
        <w:ind w:firstLine="420" w:firstLineChars="200"/>
        <w:contextualSpacing/>
        <w:rPr>
          <w:rFonts w:hint="eastAsia" w:ascii="宋体" w:hAnsi="宋体"/>
        </w:rPr>
      </w:pPr>
      <w:r>
        <w:rPr>
          <w:rFonts w:hint="eastAsia" w:ascii="宋体" w:hAnsi="宋体"/>
        </w:rPr>
        <w:t>4.5.1 指挥性违章定义：指各级领导，甚至工作票签发人、工作负责人，违反劳动安全卫生法规、条例和保证人身安全的技术措施、安全措施进行作业组织与指挥行为。</w:t>
      </w:r>
    </w:p>
    <w:p w14:paraId="021F4740">
      <w:pPr>
        <w:snapToGrid/>
        <w:spacing w:before="0" w:beforeLines="0" w:after="0" w:afterLines="0" w:line="300" w:lineRule="auto"/>
        <w:ind w:firstLine="420" w:firstLineChars="200"/>
        <w:contextualSpacing/>
        <w:rPr>
          <w:rFonts w:hint="eastAsia" w:ascii="宋体" w:hAnsi="宋体"/>
        </w:rPr>
      </w:pPr>
      <w:r>
        <w:rPr>
          <w:rFonts w:hint="eastAsia" w:ascii="宋体" w:hAnsi="宋体"/>
        </w:rPr>
        <w:t>4.5.2 指挥性违章主要指生产指挥人员违反有关规定及根据某项作业制定的技术措施、安全措施等发出的错误命令或做出的错误决定。</w:t>
      </w:r>
    </w:p>
    <w:p w14:paraId="7EEF56D9">
      <w:pPr>
        <w:snapToGrid/>
        <w:spacing w:before="0" w:beforeLines="0" w:after="0" w:afterLines="0" w:line="300" w:lineRule="auto"/>
        <w:ind w:firstLine="420" w:firstLineChars="200"/>
        <w:contextualSpacing/>
        <w:rPr>
          <w:rFonts w:hint="eastAsia" w:ascii="宋体" w:hAnsi="宋体"/>
        </w:rPr>
      </w:pPr>
      <w:r>
        <w:rPr>
          <w:rFonts w:hint="eastAsia" w:ascii="宋体" w:hAnsi="宋体"/>
        </w:rPr>
        <w:t>4.6 文明</w:t>
      </w:r>
      <w:r>
        <w:rPr>
          <w:rFonts w:hint="eastAsia" w:ascii="宋体" w:hAnsi="宋体"/>
          <w:lang w:val="en-US" w:eastAsia="zh-CN"/>
        </w:rPr>
        <w:t>作业</w:t>
      </w:r>
      <w:r>
        <w:rPr>
          <w:rFonts w:hint="eastAsia" w:ascii="宋体" w:hAnsi="宋体"/>
        </w:rPr>
        <w:t>违章定义：指在</w:t>
      </w:r>
      <w:r>
        <w:rPr>
          <w:rFonts w:hint="eastAsia" w:ascii="宋体" w:hAnsi="宋体"/>
          <w:lang w:val="en-US" w:eastAsia="zh-CN"/>
        </w:rPr>
        <w:t>作业过程</w:t>
      </w:r>
      <w:r>
        <w:rPr>
          <w:rFonts w:hint="eastAsia" w:ascii="宋体" w:hAnsi="宋体"/>
        </w:rPr>
        <w:t>中一切不文明</w:t>
      </w:r>
      <w:r>
        <w:rPr>
          <w:rFonts w:hint="eastAsia" w:ascii="宋体" w:hAnsi="宋体"/>
          <w:lang w:val="en-US" w:eastAsia="zh-CN"/>
        </w:rPr>
        <w:t>作业</w:t>
      </w:r>
      <w:r>
        <w:rPr>
          <w:rFonts w:hint="eastAsia" w:ascii="宋体" w:hAnsi="宋体"/>
        </w:rPr>
        <w:t>的行为。</w:t>
      </w:r>
    </w:p>
    <w:p w14:paraId="0551A0AC">
      <w:pPr>
        <w:snapToGrid/>
        <w:spacing w:before="0" w:beforeLines="0" w:after="0" w:afterLines="0" w:line="300" w:lineRule="auto"/>
        <w:ind w:firstLine="420" w:firstLineChars="200"/>
        <w:contextualSpacing/>
        <w:rPr>
          <w:rFonts w:hint="eastAsia" w:ascii="宋体" w:hAnsi="宋体"/>
        </w:rPr>
      </w:pPr>
      <w:r>
        <w:rPr>
          <w:rFonts w:hint="eastAsia" w:ascii="宋体" w:hAnsi="宋体"/>
        </w:rPr>
        <w:t>4.7 各类违章处罚金额标准：</w:t>
      </w:r>
    </w:p>
    <w:p w14:paraId="3C0C0C3D">
      <w:pPr>
        <w:snapToGrid/>
        <w:spacing w:before="0" w:beforeLines="0" w:after="0" w:afterLines="0" w:line="300" w:lineRule="auto"/>
        <w:ind w:firstLine="420" w:firstLineChars="200"/>
        <w:contextualSpacing/>
        <w:rPr>
          <w:rFonts w:hint="eastAsia" w:ascii="宋体" w:hAnsi="宋体"/>
          <w:lang w:val="en-US"/>
        </w:rPr>
      </w:pPr>
      <w:r>
        <w:rPr>
          <w:rFonts w:hint="eastAsia" w:ascii="宋体" w:hAnsi="宋体"/>
          <w:lang w:val="en-US" w:eastAsia="zh-CN"/>
        </w:rPr>
        <w:t>甲方及甲方客户（产废单位）的处罚事项相同时，不重复处罚，罚金以高者为准。</w:t>
      </w:r>
    </w:p>
    <w:p w14:paraId="400AB514">
      <w:pPr>
        <w:snapToGrid/>
        <w:spacing w:before="0" w:beforeLines="0" w:after="0" w:afterLines="0" w:line="300" w:lineRule="auto"/>
        <w:ind w:firstLine="420" w:firstLineChars="200"/>
        <w:contextualSpacing/>
        <w:rPr>
          <w:rFonts w:hint="eastAsia" w:ascii="宋体" w:hAnsi="宋体"/>
        </w:rPr>
      </w:pPr>
      <w:r>
        <w:rPr>
          <w:rFonts w:hint="eastAsia" w:ascii="宋体" w:hAnsi="宋体"/>
        </w:rPr>
        <w:t>4.7.1 环境、职业健康、安全管理</w:t>
      </w:r>
    </w:p>
    <w:tbl>
      <w:tblPr>
        <w:tblStyle w:val="33"/>
        <w:tblW w:w="9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08" w:type="dxa"/>
          <w:left w:w="108" w:type="dxa"/>
          <w:bottom w:w="108" w:type="dxa"/>
          <w:right w:w="108" w:type="dxa"/>
        </w:tblCellMar>
      </w:tblPr>
      <w:tblGrid>
        <w:gridCol w:w="880"/>
        <w:gridCol w:w="4416"/>
        <w:gridCol w:w="2538"/>
        <w:gridCol w:w="1499"/>
      </w:tblGrid>
      <w:tr w14:paraId="1A548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567" w:hRule="atLeast"/>
          <w:jc w:val="center"/>
        </w:trPr>
        <w:tc>
          <w:tcPr>
            <w:tcW w:w="880" w:type="dxa"/>
            <w:tcBorders>
              <w:top w:val="single" w:color="auto" w:sz="4" w:space="0"/>
              <w:left w:val="single" w:color="auto" w:sz="4" w:space="0"/>
              <w:bottom w:val="single" w:color="auto" w:sz="4" w:space="0"/>
              <w:right w:val="single" w:color="auto" w:sz="4" w:space="0"/>
            </w:tcBorders>
            <w:shd w:val="clear" w:color="auto" w:fill="auto"/>
            <w:vAlign w:val="center"/>
          </w:tcPr>
          <w:p w14:paraId="54411C8E">
            <w:pPr>
              <w:snapToGrid/>
              <w:spacing w:before="0" w:beforeLines="0" w:after="0" w:afterLines="0" w:line="240" w:lineRule="auto"/>
              <w:ind w:firstLine="0" w:firstLineChars="0"/>
              <w:contextualSpacing/>
              <w:jc w:val="center"/>
              <w:rPr>
                <w:rFonts w:hint="eastAsia" w:ascii="宋体" w:hAnsi="宋体"/>
                <w:b/>
                <w:bCs/>
              </w:rPr>
            </w:pPr>
            <w:r>
              <w:rPr>
                <w:rFonts w:hint="eastAsia" w:ascii="宋体" w:hAnsi="宋体"/>
                <w:b/>
                <w:bCs/>
              </w:rPr>
              <w:t>序号</w:t>
            </w:r>
          </w:p>
        </w:tc>
        <w:tc>
          <w:tcPr>
            <w:tcW w:w="4416" w:type="dxa"/>
            <w:tcBorders>
              <w:top w:val="single" w:color="auto" w:sz="4" w:space="0"/>
              <w:left w:val="single" w:color="auto" w:sz="4" w:space="0"/>
              <w:bottom w:val="single" w:color="auto" w:sz="4" w:space="0"/>
              <w:right w:val="single" w:color="auto" w:sz="4" w:space="0"/>
            </w:tcBorders>
            <w:shd w:val="clear" w:color="auto" w:fill="auto"/>
            <w:vAlign w:val="center"/>
          </w:tcPr>
          <w:p w14:paraId="41B06E0E">
            <w:pPr>
              <w:snapToGrid/>
              <w:spacing w:before="0" w:beforeLines="0" w:after="0" w:afterLines="0" w:line="240" w:lineRule="auto"/>
              <w:ind w:firstLine="0" w:firstLineChars="0"/>
              <w:contextualSpacing/>
              <w:jc w:val="center"/>
              <w:rPr>
                <w:rFonts w:hint="eastAsia" w:ascii="宋体" w:hAnsi="宋体"/>
                <w:b/>
                <w:bCs/>
              </w:rPr>
            </w:pPr>
            <w:r>
              <w:rPr>
                <w:rFonts w:hint="eastAsia" w:ascii="宋体" w:hAnsi="宋体"/>
                <w:b/>
                <w:bCs/>
              </w:rPr>
              <w:t>违规内容</w:t>
            </w:r>
          </w:p>
        </w:tc>
        <w:tc>
          <w:tcPr>
            <w:tcW w:w="2538" w:type="dxa"/>
            <w:tcBorders>
              <w:top w:val="single" w:color="auto" w:sz="4" w:space="0"/>
              <w:left w:val="single" w:color="auto" w:sz="4" w:space="0"/>
              <w:bottom w:val="single" w:color="auto" w:sz="4" w:space="0"/>
              <w:right w:val="single" w:color="auto" w:sz="4" w:space="0"/>
            </w:tcBorders>
            <w:shd w:val="clear" w:color="auto" w:fill="auto"/>
            <w:vAlign w:val="center"/>
          </w:tcPr>
          <w:p w14:paraId="6539BA0A">
            <w:pPr>
              <w:snapToGrid/>
              <w:spacing w:before="0" w:beforeLines="0" w:after="0" w:afterLines="0" w:line="240" w:lineRule="auto"/>
              <w:ind w:firstLine="0" w:firstLineChars="0"/>
              <w:contextualSpacing/>
              <w:jc w:val="center"/>
              <w:rPr>
                <w:rFonts w:hint="eastAsia" w:ascii="宋体" w:hAnsi="宋体"/>
                <w:b/>
                <w:bCs/>
              </w:rPr>
            </w:pPr>
            <w:r>
              <w:rPr>
                <w:rFonts w:hint="eastAsia" w:ascii="宋体" w:hAnsi="宋体"/>
                <w:b/>
                <w:bCs/>
              </w:rPr>
              <w:t>罚款金额</w:t>
            </w:r>
          </w:p>
        </w:tc>
        <w:tc>
          <w:tcPr>
            <w:tcW w:w="1499" w:type="dxa"/>
            <w:tcBorders>
              <w:top w:val="single" w:color="auto" w:sz="4" w:space="0"/>
              <w:left w:val="single" w:color="auto" w:sz="4" w:space="0"/>
              <w:bottom w:val="single" w:color="auto" w:sz="4" w:space="0"/>
              <w:right w:val="single" w:color="auto" w:sz="4" w:space="0"/>
            </w:tcBorders>
            <w:shd w:val="clear" w:color="auto" w:fill="auto"/>
            <w:vAlign w:val="center"/>
          </w:tcPr>
          <w:p w14:paraId="20D3FB09">
            <w:pPr>
              <w:snapToGrid/>
              <w:spacing w:before="0" w:beforeLines="0" w:after="0" w:afterLines="0" w:line="240" w:lineRule="auto"/>
              <w:ind w:firstLine="0" w:firstLineChars="0"/>
              <w:contextualSpacing/>
              <w:jc w:val="center"/>
              <w:rPr>
                <w:rFonts w:hint="eastAsia" w:ascii="宋体" w:hAnsi="宋体"/>
                <w:b/>
                <w:bCs/>
              </w:rPr>
            </w:pPr>
            <w:r>
              <w:rPr>
                <w:rFonts w:hint="eastAsia" w:ascii="宋体" w:hAnsi="宋体"/>
                <w:b/>
                <w:bCs/>
              </w:rPr>
              <w:t>备注</w:t>
            </w:r>
          </w:p>
        </w:tc>
      </w:tr>
      <w:tr w14:paraId="73D0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340" w:hRule="atLeast"/>
          <w:jc w:val="center"/>
        </w:trPr>
        <w:tc>
          <w:tcPr>
            <w:tcW w:w="880" w:type="dxa"/>
            <w:tcBorders>
              <w:top w:val="single" w:color="auto" w:sz="4" w:space="0"/>
              <w:left w:val="single" w:color="auto" w:sz="4" w:space="0"/>
              <w:bottom w:val="single" w:color="auto" w:sz="4" w:space="0"/>
              <w:right w:val="single" w:color="auto" w:sz="4" w:space="0"/>
            </w:tcBorders>
            <w:shd w:val="clear" w:color="auto" w:fill="auto"/>
            <w:vAlign w:val="center"/>
          </w:tcPr>
          <w:p w14:paraId="499A0D76">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EHS01</w:t>
            </w:r>
          </w:p>
        </w:tc>
        <w:tc>
          <w:tcPr>
            <w:tcW w:w="4416" w:type="dxa"/>
            <w:tcBorders>
              <w:top w:val="single" w:color="auto" w:sz="4" w:space="0"/>
              <w:left w:val="single" w:color="auto" w:sz="4" w:space="0"/>
              <w:bottom w:val="single" w:color="auto" w:sz="4" w:space="0"/>
              <w:right w:val="single" w:color="auto" w:sz="4" w:space="0"/>
            </w:tcBorders>
            <w:shd w:val="clear" w:color="auto" w:fill="auto"/>
            <w:vAlign w:val="center"/>
          </w:tcPr>
          <w:p w14:paraId="1DFD2487">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未按规定设置现场安全监督管理人员</w:t>
            </w:r>
          </w:p>
        </w:tc>
        <w:tc>
          <w:tcPr>
            <w:tcW w:w="2538" w:type="dxa"/>
            <w:tcBorders>
              <w:top w:val="single" w:color="auto" w:sz="4" w:space="0"/>
              <w:left w:val="single" w:color="auto" w:sz="4" w:space="0"/>
              <w:bottom w:val="single" w:color="auto" w:sz="4" w:space="0"/>
              <w:right w:val="single" w:color="auto" w:sz="4" w:space="0"/>
            </w:tcBorders>
            <w:shd w:val="clear" w:color="auto" w:fill="auto"/>
            <w:vAlign w:val="center"/>
          </w:tcPr>
          <w:p w14:paraId="06C693D5">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每次 200元</w:t>
            </w:r>
          </w:p>
        </w:tc>
        <w:tc>
          <w:tcPr>
            <w:tcW w:w="1499" w:type="dxa"/>
            <w:tcBorders>
              <w:top w:val="single" w:color="auto" w:sz="4" w:space="0"/>
              <w:left w:val="single" w:color="auto" w:sz="4" w:space="0"/>
              <w:bottom w:val="single" w:color="auto" w:sz="4" w:space="0"/>
              <w:right w:val="single" w:color="auto" w:sz="4" w:space="0"/>
            </w:tcBorders>
            <w:shd w:val="clear" w:color="auto" w:fill="auto"/>
            <w:vAlign w:val="center"/>
          </w:tcPr>
          <w:p w14:paraId="43AE1213">
            <w:pPr>
              <w:snapToGrid/>
              <w:spacing w:before="0" w:beforeLines="0" w:after="0" w:afterLines="0" w:line="240" w:lineRule="auto"/>
              <w:ind w:firstLine="420" w:firstLineChars="200"/>
              <w:contextualSpacing/>
              <w:jc w:val="center"/>
              <w:rPr>
                <w:rFonts w:hint="eastAsia" w:ascii="宋体" w:hAnsi="宋体"/>
              </w:rPr>
            </w:pPr>
          </w:p>
        </w:tc>
      </w:tr>
      <w:tr w14:paraId="43830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340" w:hRule="atLeast"/>
          <w:jc w:val="center"/>
        </w:trPr>
        <w:tc>
          <w:tcPr>
            <w:tcW w:w="880" w:type="dxa"/>
            <w:tcBorders>
              <w:top w:val="single" w:color="auto" w:sz="4" w:space="0"/>
              <w:left w:val="single" w:color="auto" w:sz="4" w:space="0"/>
              <w:bottom w:val="single" w:color="auto" w:sz="4" w:space="0"/>
              <w:right w:val="single" w:color="auto" w:sz="4" w:space="0"/>
            </w:tcBorders>
            <w:shd w:val="clear" w:color="auto" w:fill="auto"/>
            <w:vAlign w:val="center"/>
          </w:tcPr>
          <w:p w14:paraId="6070A253">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EHS02</w:t>
            </w:r>
          </w:p>
        </w:tc>
        <w:tc>
          <w:tcPr>
            <w:tcW w:w="4416" w:type="dxa"/>
            <w:tcBorders>
              <w:top w:val="single" w:color="auto" w:sz="4" w:space="0"/>
              <w:left w:val="single" w:color="auto" w:sz="4" w:space="0"/>
              <w:bottom w:val="single" w:color="auto" w:sz="4" w:space="0"/>
              <w:right w:val="single" w:color="auto" w:sz="4" w:space="0"/>
            </w:tcBorders>
            <w:shd w:val="clear" w:color="auto" w:fill="auto"/>
            <w:vAlign w:val="center"/>
          </w:tcPr>
          <w:p w14:paraId="7662D1AE">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未建立相关安全操作规程、应急预案</w:t>
            </w:r>
          </w:p>
        </w:tc>
        <w:tc>
          <w:tcPr>
            <w:tcW w:w="2538" w:type="dxa"/>
            <w:tcBorders>
              <w:top w:val="single" w:color="auto" w:sz="4" w:space="0"/>
              <w:left w:val="single" w:color="auto" w:sz="4" w:space="0"/>
              <w:bottom w:val="single" w:color="auto" w:sz="4" w:space="0"/>
              <w:right w:val="single" w:color="auto" w:sz="4" w:space="0"/>
            </w:tcBorders>
            <w:shd w:val="clear" w:color="auto" w:fill="auto"/>
            <w:vAlign w:val="center"/>
          </w:tcPr>
          <w:p w14:paraId="03616B94">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每次 200元</w:t>
            </w:r>
          </w:p>
        </w:tc>
        <w:tc>
          <w:tcPr>
            <w:tcW w:w="1499" w:type="dxa"/>
            <w:tcBorders>
              <w:top w:val="single" w:color="auto" w:sz="4" w:space="0"/>
              <w:left w:val="single" w:color="auto" w:sz="4" w:space="0"/>
              <w:bottom w:val="single" w:color="auto" w:sz="4" w:space="0"/>
              <w:right w:val="single" w:color="auto" w:sz="4" w:space="0"/>
            </w:tcBorders>
            <w:shd w:val="clear" w:color="auto" w:fill="auto"/>
            <w:vAlign w:val="center"/>
          </w:tcPr>
          <w:p w14:paraId="043F19CE">
            <w:pPr>
              <w:snapToGrid/>
              <w:spacing w:before="0" w:beforeLines="0" w:after="0" w:afterLines="0" w:line="240" w:lineRule="auto"/>
              <w:ind w:firstLine="420" w:firstLineChars="200"/>
              <w:contextualSpacing/>
              <w:jc w:val="center"/>
              <w:rPr>
                <w:rFonts w:hint="eastAsia" w:ascii="宋体" w:hAnsi="宋体"/>
              </w:rPr>
            </w:pPr>
          </w:p>
        </w:tc>
      </w:tr>
      <w:tr w14:paraId="6CC3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340" w:hRule="atLeast"/>
          <w:jc w:val="center"/>
        </w:trPr>
        <w:tc>
          <w:tcPr>
            <w:tcW w:w="880" w:type="dxa"/>
            <w:tcBorders>
              <w:top w:val="single" w:color="auto" w:sz="4" w:space="0"/>
              <w:left w:val="single" w:color="auto" w:sz="4" w:space="0"/>
              <w:bottom w:val="single" w:color="auto" w:sz="4" w:space="0"/>
              <w:right w:val="single" w:color="auto" w:sz="4" w:space="0"/>
            </w:tcBorders>
            <w:shd w:val="clear" w:color="auto" w:fill="auto"/>
            <w:vAlign w:val="center"/>
          </w:tcPr>
          <w:p w14:paraId="6ABFC57A">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EHS03</w:t>
            </w:r>
          </w:p>
        </w:tc>
        <w:tc>
          <w:tcPr>
            <w:tcW w:w="4416" w:type="dxa"/>
            <w:tcBorders>
              <w:top w:val="single" w:color="auto" w:sz="4" w:space="0"/>
              <w:left w:val="single" w:color="auto" w:sz="4" w:space="0"/>
              <w:bottom w:val="single" w:color="auto" w:sz="4" w:space="0"/>
              <w:right w:val="single" w:color="auto" w:sz="4" w:space="0"/>
            </w:tcBorders>
            <w:shd w:val="clear" w:color="auto" w:fill="auto"/>
            <w:vAlign w:val="center"/>
          </w:tcPr>
          <w:p w14:paraId="290AE596">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未落实安全教育，提交虚假培训资料等</w:t>
            </w:r>
          </w:p>
        </w:tc>
        <w:tc>
          <w:tcPr>
            <w:tcW w:w="2538" w:type="dxa"/>
            <w:tcBorders>
              <w:top w:val="single" w:color="auto" w:sz="4" w:space="0"/>
              <w:left w:val="single" w:color="auto" w:sz="4" w:space="0"/>
              <w:bottom w:val="single" w:color="auto" w:sz="4" w:space="0"/>
              <w:right w:val="single" w:color="auto" w:sz="4" w:space="0"/>
            </w:tcBorders>
            <w:shd w:val="clear" w:color="auto" w:fill="auto"/>
            <w:vAlign w:val="center"/>
          </w:tcPr>
          <w:p w14:paraId="60E612E2">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每人每次 200元</w:t>
            </w:r>
          </w:p>
        </w:tc>
        <w:tc>
          <w:tcPr>
            <w:tcW w:w="1499" w:type="dxa"/>
            <w:tcBorders>
              <w:top w:val="single" w:color="auto" w:sz="4" w:space="0"/>
              <w:left w:val="single" w:color="auto" w:sz="4" w:space="0"/>
              <w:bottom w:val="single" w:color="auto" w:sz="4" w:space="0"/>
              <w:right w:val="single" w:color="auto" w:sz="4" w:space="0"/>
            </w:tcBorders>
            <w:shd w:val="clear" w:color="auto" w:fill="auto"/>
            <w:vAlign w:val="center"/>
          </w:tcPr>
          <w:p w14:paraId="461E9D46">
            <w:pPr>
              <w:snapToGrid/>
              <w:spacing w:before="0" w:beforeLines="0" w:after="0" w:afterLines="0" w:line="240" w:lineRule="auto"/>
              <w:ind w:firstLine="420" w:firstLineChars="200"/>
              <w:contextualSpacing/>
              <w:jc w:val="center"/>
              <w:rPr>
                <w:rFonts w:hint="eastAsia" w:ascii="宋体" w:hAnsi="宋体"/>
              </w:rPr>
            </w:pPr>
          </w:p>
        </w:tc>
      </w:tr>
      <w:tr w14:paraId="5F857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340" w:hRule="atLeast"/>
          <w:jc w:val="center"/>
        </w:trPr>
        <w:tc>
          <w:tcPr>
            <w:tcW w:w="880" w:type="dxa"/>
            <w:tcBorders>
              <w:top w:val="single" w:color="auto" w:sz="4" w:space="0"/>
              <w:left w:val="single" w:color="auto" w:sz="4" w:space="0"/>
              <w:bottom w:val="single" w:color="auto" w:sz="4" w:space="0"/>
              <w:right w:val="single" w:color="auto" w:sz="4" w:space="0"/>
            </w:tcBorders>
            <w:shd w:val="clear" w:color="auto" w:fill="auto"/>
            <w:vAlign w:val="center"/>
          </w:tcPr>
          <w:p w14:paraId="0E8F5023">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EHS04</w:t>
            </w:r>
          </w:p>
        </w:tc>
        <w:tc>
          <w:tcPr>
            <w:tcW w:w="4416" w:type="dxa"/>
            <w:tcBorders>
              <w:top w:val="single" w:color="auto" w:sz="4" w:space="0"/>
              <w:left w:val="single" w:color="auto" w:sz="4" w:space="0"/>
              <w:bottom w:val="single" w:color="auto" w:sz="4" w:space="0"/>
              <w:right w:val="single" w:color="auto" w:sz="4" w:space="0"/>
            </w:tcBorders>
            <w:shd w:val="clear" w:color="auto" w:fill="auto"/>
            <w:vAlign w:val="center"/>
          </w:tcPr>
          <w:p w14:paraId="242488A3">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未落实安全管理及货品质量整改措施</w:t>
            </w:r>
          </w:p>
        </w:tc>
        <w:tc>
          <w:tcPr>
            <w:tcW w:w="2538" w:type="dxa"/>
            <w:tcBorders>
              <w:top w:val="single" w:color="auto" w:sz="4" w:space="0"/>
              <w:left w:val="single" w:color="auto" w:sz="4" w:space="0"/>
              <w:bottom w:val="single" w:color="auto" w:sz="4" w:space="0"/>
              <w:right w:val="single" w:color="auto" w:sz="4" w:space="0"/>
            </w:tcBorders>
            <w:shd w:val="clear" w:color="auto" w:fill="auto"/>
            <w:vAlign w:val="center"/>
          </w:tcPr>
          <w:p w14:paraId="3011ADB5">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每次 200元</w:t>
            </w:r>
          </w:p>
        </w:tc>
        <w:tc>
          <w:tcPr>
            <w:tcW w:w="1499" w:type="dxa"/>
            <w:tcBorders>
              <w:top w:val="single" w:color="auto" w:sz="4" w:space="0"/>
              <w:left w:val="single" w:color="auto" w:sz="4" w:space="0"/>
              <w:bottom w:val="single" w:color="auto" w:sz="4" w:space="0"/>
              <w:right w:val="single" w:color="auto" w:sz="4" w:space="0"/>
            </w:tcBorders>
            <w:shd w:val="clear" w:color="auto" w:fill="auto"/>
            <w:vAlign w:val="center"/>
          </w:tcPr>
          <w:p w14:paraId="463DAD3B">
            <w:pPr>
              <w:snapToGrid/>
              <w:spacing w:before="0" w:beforeLines="0" w:after="0" w:afterLines="0" w:line="240" w:lineRule="auto"/>
              <w:ind w:firstLine="420" w:firstLineChars="200"/>
              <w:contextualSpacing/>
              <w:jc w:val="center"/>
              <w:rPr>
                <w:rFonts w:hint="eastAsia" w:ascii="宋体" w:hAnsi="宋体"/>
              </w:rPr>
            </w:pPr>
          </w:p>
        </w:tc>
      </w:tr>
      <w:tr w14:paraId="19F51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340" w:hRule="atLeast"/>
          <w:jc w:val="center"/>
        </w:trPr>
        <w:tc>
          <w:tcPr>
            <w:tcW w:w="880" w:type="dxa"/>
            <w:tcBorders>
              <w:top w:val="single" w:color="auto" w:sz="4" w:space="0"/>
              <w:left w:val="single" w:color="auto" w:sz="4" w:space="0"/>
              <w:bottom w:val="single" w:color="auto" w:sz="4" w:space="0"/>
              <w:right w:val="single" w:color="auto" w:sz="4" w:space="0"/>
            </w:tcBorders>
            <w:shd w:val="clear" w:color="auto" w:fill="auto"/>
            <w:vAlign w:val="center"/>
          </w:tcPr>
          <w:p w14:paraId="754CE7FF">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EHS05</w:t>
            </w:r>
          </w:p>
        </w:tc>
        <w:tc>
          <w:tcPr>
            <w:tcW w:w="4416" w:type="dxa"/>
            <w:tcBorders>
              <w:top w:val="single" w:color="auto" w:sz="4" w:space="0"/>
              <w:left w:val="single" w:color="auto" w:sz="4" w:space="0"/>
              <w:bottom w:val="single" w:color="auto" w:sz="4" w:space="0"/>
              <w:right w:val="single" w:color="auto" w:sz="4" w:space="0"/>
            </w:tcBorders>
            <w:shd w:val="clear" w:color="auto" w:fill="auto"/>
            <w:vAlign w:val="center"/>
          </w:tcPr>
          <w:p w14:paraId="068A3AF4">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不报、瞒报、迟报安全事故</w:t>
            </w:r>
          </w:p>
        </w:tc>
        <w:tc>
          <w:tcPr>
            <w:tcW w:w="2538" w:type="dxa"/>
            <w:tcBorders>
              <w:top w:val="single" w:color="auto" w:sz="4" w:space="0"/>
              <w:left w:val="single" w:color="auto" w:sz="4" w:space="0"/>
              <w:bottom w:val="single" w:color="auto" w:sz="4" w:space="0"/>
              <w:right w:val="single" w:color="auto" w:sz="4" w:space="0"/>
            </w:tcBorders>
            <w:shd w:val="clear" w:color="auto" w:fill="auto"/>
            <w:vAlign w:val="center"/>
          </w:tcPr>
          <w:p w14:paraId="53F07B6F">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每次 2000元</w:t>
            </w:r>
          </w:p>
        </w:tc>
        <w:tc>
          <w:tcPr>
            <w:tcW w:w="1499" w:type="dxa"/>
            <w:tcBorders>
              <w:top w:val="single" w:color="auto" w:sz="4" w:space="0"/>
              <w:left w:val="single" w:color="auto" w:sz="4" w:space="0"/>
              <w:bottom w:val="single" w:color="auto" w:sz="4" w:space="0"/>
              <w:right w:val="single" w:color="auto" w:sz="4" w:space="0"/>
            </w:tcBorders>
            <w:shd w:val="clear" w:color="auto" w:fill="auto"/>
            <w:vAlign w:val="center"/>
          </w:tcPr>
          <w:p w14:paraId="563912A9">
            <w:pPr>
              <w:snapToGrid/>
              <w:spacing w:before="0" w:beforeLines="0" w:after="0" w:afterLines="0" w:line="240" w:lineRule="auto"/>
              <w:ind w:firstLine="420" w:firstLineChars="200"/>
              <w:contextualSpacing/>
              <w:jc w:val="center"/>
              <w:rPr>
                <w:rFonts w:hint="eastAsia" w:ascii="宋体" w:hAnsi="宋体"/>
              </w:rPr>
            </w:pPr>
          </w:p>
        </w:tc>
      </w:tr>
      <w:tr w14:paraId="09E9B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340" w:hRule="atLeast"/>
          <w:jc w:val="center"/>
        </w:trPr>
        <w:tc>
          <w:tcPr>
            <w:tcW w:w="880" w:type="dxa"/>
            <w:tcBorders>
              <w:top w:val="single" w:color="auto" w:sz="4" w:space="0"/>
              <w:left w:val="single" w:color="auto" w:sz="4" w:space="0"/>
              <w:bottom w:val="single" w:color="auto" w:sz="4" w:space="0"/>
              <w:right w:val="single" w:color="auto" w:sz="4" w:space="0"/>
            </w:tcBorders>
            <w:shd w:val="clear" w:color="auto" w:fill="auto"/>
            <w:vAlign w:val="center"/>
          </w:tcPr>
          <w:p w14:paraId="534DD3B7">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EHS06</w:t>
            </w:r>
          </w:p>
        </w:tc>
        <w:tc>
          <w:tcPr>
            <w:tcW w:w="4416" w:type="dxa"/>
            <w:tcBorders>
              <w:top w:val="single" w:color="auto" w:sz="4" w:space="0"/>
              <w:left w:val="single" w:color="auto" w:sz="4" w:space="0"/>
              <w:bottom w:val="single" w:color="auto" w:sz="4" w:space="0"/>
              <w:right w:val="single" w:color="auto" w:sz="4" w:space="0"/>
            </w:tcBorders>
            <w:shd w:val="clear" w:color="auto" w:fill="auto"/>
            <w:vAlign w:val="center"/>
          </w:tcPr>
          <w:p w14:paraId="33AB5303">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危险化学品运输人员未持证上岗</w:t>
            </w:r>
          </w:p>
        </w:tc>
        <w:tc>
          <w:tcPr>
            <w:tcW w:w="2538" w:type="dxa"/>
            <w:tcBorders>
              <w:top w:val="single" w:color="auto" w:sz="4" w:space="0"/>
              <w:left w:val="single" w:color="auto" w:sz="4" w:space="0"/>
              <w:bottom w:val="single" w:color="auto" w:sz="4" w:space="0"/>
              <w:right w:val="single" w:color="auto" w:sz="4" w:space="0"/>
            </w:tcBorders>
            <w:shd w:val="clear" w:color="auto" w:fill="auto"/>
            <w:vAlign w:val="center"/>
          </w:tcPr>
          <w:p w14:paraId="51A3B2F9">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每人每次 2000元</w:t>
            </w:r>
          </w:p>
        </w:tc>
        <w:tc>
          <w:tcPr>
            <w:tcW w:w="1499" w:type="dxa"/>
            <w:tcBorders>
              <w:top w:val="single" w:color="auto" w:sz="4" w:space="0"/>
              <w:left w:val="single" w:color="auto" w:sz="4" w:space="0"/>
              <w:bottom w:val="single" w:color="auto" w:sz="4" w:space="0"/>
              <w:right w:val="single" w:color="auto" w:sz="4" w:space="0"/>
            </w:tcBorders>
            <w:shd w:val="clear" w:color="auto" w:fill="auto"/>
            <w:vAlign w:val="center"/>
          </w:tcPr>
          <w:p w14:paraId="1C994A4A">
            <w:pPr>
              <w:snapToGrid/>
              <w:spacing w:before="0" w:beforeLines="0" w:after="0" w:afterLines="0" w:line="240" w:lineRule="auto"/>
              <w:ind w:firstLine="420" w:firstLineChars="200"/>
              <w:contextualSpacing/>
              <w:jc w:val="center"/>
              <w:rPr>
                <w:rFonts w:hint="eastAsia" w:ascii="宋体" w:hAnsi="宋体"/>
              </w:rPr>
            </w:pPr>
          </w:p>
        </w:tc>
      </w:tr>
      <w:tr w14:paraId="12BA3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340" w:hRule="atLeast"/>
          <w:jc w:val="center"/>
        </w:trPr>
        <w:tc>
          <w:tcPr>
            <w:tcW w:w="880" w:type="dxa"/>
            <w:tcBorders>
              <w:top w:val="single" w:color="auto" w:sz="4" w:space="0"/>
              <w:left w:val="single" w:color="auto" w:sz="4" w:space="0"/>
              <w:bottom w:val="single" w:color="auto" w:sz="4" w:space="0"/>
              <w:right w:val="single" w:color="auto" w:sz="4" w:space="0"/>
            </w:tcBorders>
            <w:shd w:val="clear" w:color="auto" w:fill="auto"/>
            <w:vAlign w:val="center"/>
          </w:tcPr>
          <w:p w14:paraId="18CF4B13">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rPr>
              <w:t>EHS0</w:t>
            </w:r>
            <w:r>
              <w:rPr>
                <w:rFonts w:hint="eastAsia" w:ascii="宋体" w:hAnsi="宋体"/>
                <w:lang w:val="en-US" w:eastAsia="zh-CN"/>
              </w:rPr>
              <w:t>7</w:t>
            </w:r>
          </w:p>
        </w:tc>
        <w:tc>
          <w:tcPr>
            <w:tcW w:w="4416" w:type="dxa"/>
            <w:tcBorders>
              <w:top w:val="single" w:color="auto" w:sz="4" w:space="0"/>
              <w:left w:val="single" w:color="auto" w:sz="4" w:space="0"/>
              <w:bottom w:val="single" w:color="auto" w:sz="4" w:space="0"/>
              <w:right w:val="single" w:color="auto" w:sz="4" w:space="0"/>
            </w:tcBorders>
            <w:shd w:val="clear" w:color="auto" w:fill="auto"/>
            <w:vAlign w:val="center"/>
          </w:tcPr>
          <w:p w14:paraId="72A29BF4">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进入生产区域未按照规定要求佩戴劳动防护用品或劳动防护用品不符合安全卫生要求</w:t>
            </w:r>
          </w:p>
        </w:tc>
        <w:tc>
          <w:tcPr>
            <w:tcW w:w="2538" w:type="dxa"/>
            <w:tcBorders>
              <w:top w:val="single" w:color="auto" w:sz="4" w:space="0"/>
              <w:left w:val="single" w:color="auto" w:sz="4" w:space="0"/>
              <w:bottom w:val="single" w:color="auto" w:sz="4" w:space="0"/>
              <w:right w:val="single" w:color="auto" w:sz="4" w:space="0"/>
            </w:tcBorders>
            <w:shd w:val="clear" w:color="auto" w:fill="auto"/>
            <w:vAlign w:val="center"/>
          </w:tcPr>
          <w:p w14:paraId="20706BF6">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每人每次 200元</w:t>
            </w:r>
          </w:p>
        </w:tc>
        <w:tc>
          <w:tcPr>
            <w:tcW w:w="1499" w:type="dxa"/>
            <w:tcBorders>
              <w:top w:val="single" w:color="auto" w:sz="4" w:space="0"/>
              <w:left w:val="single" w:color="auto" w:sz="4" w:space="0"/>
              <w:bottom w:val="single" w:color="auto" w:sz="4" w:space="0"/>
              <w:right w:val="single" w:color="auto" w:sz="4" w:space="0"/>
            </w:tcBorders>
            <w:shd w:val="clear" w:color="auto" w:fill="auto"/>
            <w:vAlign w:val="center"/>
          </w:tcPr>
          <w:p w14:paraId="38247C2F">
            <w:pPr>
              <w:snapToGrid/>
              <w:spacing w:before="0" w:beforeLines="0" w:after="0" w:afterLines="0" w:line="240" w:lineRule="auto"/>
              <w:ind w:firstLine="420" w:firstLineChars="200"/>
              <w:contextualSpacing/>
              <w:jc w:val="center"/>
              <w:rPr>
                <w:rFonts w:hint="eastAsia" w:ascii="宋体" w:hAnsi="宋体"/>
              </w:rPr>
            </w:pPr>
          </w:p>
        </w:tc>
      </w:tr>
      <w:tr w14:paraId="45CF4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340" w:hRule="atLeast"/>
          <w:jc w:val="center"/>
        </w:trPr>
        <w:tc>
          <w:tcPr>
            <w:tcW w:w="880" w:type="dxa"/>
            <w:tcBorders>
              <w:top w:val="single" w:color="auto" w:sz="4" w:space="0"/>
              <w:left w:val="single" w:color="auto" w:sz="4" w:space="0"/>
              <w:bottom w:val="single" w:color="auto" w:sz="4" w:space="0"/>
              <w:right w:val="single" w:color="auto" w:sz="4" w:space="0"/>
            </w:tcBorders>
            <w:shd w:val="clear" w:color="auto" w:fill="auto"/>
            <w:vAlign w:val="center"/>
          </w:tcPr>
          <w:p w14:paraId="2B3A0927">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rPr>
              <w:t>EHS0</w:t>
            </w:r>
            <w:r>
              <w:rPr>
                <w:rFonts w:hint="eastAsia" w:ascii="宋体" w:hAnsi="宋体"/>
                <w:lang w:val="en-US" w:eastAsia="zh-CN"/>
              </w:rPr>
              <w:t>8</w:t>
            </w:r>
          </w:p>
        </w:tc>
        <w:tc>
          <w:tcPr>
            <w:tcW w:w="4416" w:type="dxa"/>
            <w:tcBorders>
              <w:top w:val="single" w:color="auto" w:sz="4" w:space="0"/>
              <w:left w:val="single" w:color="auto" w:sz="4" w:space="0"/>
              <w:bottom w:val="single" w:color="auto" w:sz="4" w:space="0"/>
              <w:right w:val="single" w:color="auto" w:sz="4" w:space="0"/>
            </w:tcBorders>
            <w:shd w:val="clear" w:color="auto" w:fill="auto"/>
            <w:vAlign w:val="center"/>
          </w:tcPr>
          <w:p w14:paraId="09BB2E3A">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打架斗殴\聚众闹事\拦路封门等恶劣影响</w:t>
            </w:r>
          </w:p>
        </w:tc>
        <w:tc>
          <w:tcPr>
            <w:tcW w:w="2538" w:type="dxa"/>
            <w:tcBorders>
              <w:top w:val="single" w:color="auto" w:sz="4" w:space="0"/>
              <w:left w:val="single" w:color="auto" w:sz="4" w:space="0"/>
              <w:bottom w:val="single" w:color="auto" w:sz="4" w:space="0"/>
              <w:right w:val="single" w:color="auto" w:sz="4" w:space="0"/>
            </w:tcBorders>
            <w:shd w:val="clear" w:color="auto" w:fill="auto"/>
            <w:vAlign w:val="center"/>
          </w:tcPr>
          <w:p w14:paraId="1E17D7F8">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每人每次 2000元</w:t>
            </w:r>
          </w:p>
        </w:tc>
        <w:tc>
          <w:tcPr>
            <w:tcW w:w="1499" w:type="dxa"/>
            <w:tcBorders>
              <w:top w:val="single" w:color="auto" w:sz="4" w:space="0"/>
              <w:left w:val="single" w:color="auto" w:sz="4" w:space="0"/>
              <w:bottom w:val="single" w:color="auto" w:sz="4" w:space="0"/>
              <w:right w:val="single" w:color="auto" w:sz="4" w:space="0"/>
            </w:tcBorders>
            <w:shd w:val="clear" w:color="auto" w:fill="auto"/>
            <w:vAlign w:val="center"/>
          </w:tcPr>
          <w:p w14:paraId="3248BB5F">
            <w:pPr>
              <w:snapToGrid/>
              <w:spacing w:before="0" w:beforeLines="0" w:after="0" w:afterLines="0" w:line="240" w:lineRule="auto"/>
              <w:ind w:firstLine="420" w:firstLineChars="200"/>
              <w:contextualSpacing/>
              <w:jc w:val="center"/>
              <w:rPr>
                <w:rFonts w:hint="eastAsia" w:ascii="宋体" w:hAnsi="宋体"/>
              </w:rPr>
            </w:pPr>
          </w:p>
        </w:tc>
      </w:tr>
      <w:tr w14:paraId="54985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340" w:hRule="atLeast"/>
          <w:jc w:val="center"/>
        </w:trPr>
        <w:tc>
          <w:tcPr>
            <w:tcW w:w="880" w:type="dxa"/>
            <w:tcBorders>
              <w:top w:val="single" w:color="auto" w:sz="4" w:space="0"/>
              <w:left w:val="single" w:color="auto" w:sz="4" w:space="0"/>
              <w:bottom w:val="single" w:color="auto" w:sz="4" w:space="0"/>
              <w:right w:val="single" w:color="auto" w:sz="4" w:space="0"/>
            </w:tcBorders>
            <w:shd w:val="clear" w:color="auto" w:fill="auto"/>
            <w:vAlign w:val="center"/>
          </w:tcPr>
          <w:p w14:paraId="10F37141">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rPr>
              <w:t>EHS</w:t>
            </w:r>
            <w:r>
              <w:rPr>
                <w:rFonts w:hint="eastAsia" w:ascii="宋体" w:hAnsi="宋体"/>
                <w:lang w:val="en-US" w:eastAsia="zh-CN"/>
              </w:rPr>
              <w:t>09</w:t>
            </w:r>
          </w:p>
        </w:tc>
        <w:tc>
          <w:tcPr>
            <w:tcW w:w="4416" w:type="dxa"/>
            <w:tcBorders>
              <w:top w:val="single" w:color="auto" w:sz="4" w:space="0"/>
              <w:left w:val="single" w:color="auto" w:sz="4" w:space="0"/>
              <w:bottom w:val="single" w:color="auto" w:sz="4" w:space="0"/>
              <w:right w:val="single" w:color="auto" w:sz="4" w:space="0"/>
            </w:tcBorders>
            <w:shd w:val="clear" w:color="auto" w:fill="auto"/>
            <w:vAlign w:val="center"/>
          </w:tcPr>
          <w:p w14:paraId="4A8A0A7B">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不服从管理、威胁、恐吓、殴打甲方管理人员</w:t>
            </w:r>
          </w:p>
        </w:tc>
        <w:tc>
          <w:tcPr>
            <w:tcW w:w="2538" w:type="dxa"/>
            <w:tcBorders>
              <w:top w:val="single" w:color="auto" w:sz="4" w:space="0"/>
              <w:left w:val="single" w:color="auto" w:sz="4" w:space="0"/>
              <w:bottom w:val="single" w:color="auto" w:sz="4" w:space="0"/>
              <w:right w:val="single" w:color="auto" w:sz="4" w:space="0"/>
            </w:tcBorders>
            <w:shd w:val="clear" w:color="auto" w:fill="auto"/>
            <w:vAlign w:val="center"/>
          </w:tcPr>
          <w:p w14:paraId="343B619E">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每人每次 2000元</w:t>
            </w:r>
          </w:p>
        </w:tc>
        <w:tc>
          <w:tcPr>
            <w:tcW w:w="1499" w:type="dxa"/>
            <w:tcBorders>
              <w:top w:val="single" w:color="auto" w:sz="4" w:space="0"/>
              <w:left w:val="single" w:color="auto" w:sz="4" w:space="0"/>
              <w:bottom w:val="single" w:color="auto" w:sz="4" w:space="0"/>
              <w:right w:val="single" w:color="auto" w:sz="4" w:space="0"/>
            </w:tcBorders>
            <w:shd w:val="clear" w:color="auto" w:fill="auto"/>
            <w:vAlign w:val="center"/>
          </w:tcPr>
          <w:p w14:paraId="5F089F26">
            <w:pPr>
              <w:snapToGrid/>
              <w:spacing w:before="0" w:beforeLines="0" w:after="0" w:afterLines="0" w:line="240" w:lineRule="auto"/>
              <w:ind w:firstLine="420" w:firstLineChars="200"/>
              <w:contextualSpacing/>
              <w:jc w:val="center"/>
              <w:rPr>
                <w:rFonts w:hint="eastAsia" w:ascii="宋体" w:hAnsi="宋体"/>
              </w:rPr>
            </w:pPr>
          </w:p>
        </w:tc>
      </w:tr>
      <w:tr w14:paraId="0D069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340" w:hRule="atLeast"/>
          <w:jc w:val="center"/>
        </w:trPr>
        <w:tc>
          <w:tcPr>
            <w:tcW w:w="880" w:type="dxa"/>
            <w:tcBorders>
              <w:top w:val="single" w:color="auto" w:sz="4" w:space="0"/>
              <w:left w:val="single" w:color="auto" w:sz="4" w:space="0"/>
              <w:bottom w:val="single" w:color="auto" w:sz="4" w:space="0"/>
              <w:right w:val="single" w:color="auto" w:sz="4" w:space="0"/>
            </w:tcBorders>
            <w:shd w:val="clear" w:color="auto" w:fill="auto"/>
            <w:vAlign w:val="center"/>
          </w:tcPr>
          <w:p w14:paraId="41CF076B">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rPr>
              <w:t>EHS1</w:t>
            </w:r>
            <w:r>
              <w:rPr>
                <w:rFonts w:hint="eastAsia" w:ascii="宋体" w:hAnsi="宋体"/>
                <w:lang w:val="en-US" w:eastAsia="zh-CN"/>
              </w:rPr>
              <w:t>0</w:t>
            </w:r>
          </w:p>
        </w:tc>
        <w:tc>
          <w:tcPr>
            <w:tcW w:w="4416" w:type="dxa"/>
            <w:tcBorders>
              <w:top w:val="single" w:color="auto" w:sz="4" w:space="0"/>
              <w:left w:val="single" w:color="auto" w:sz="4" w:space="0"/>
              <w:bottom w:val="single" w:color="auto" w:sz="4" w:space="0"/>
              <w:right w:val="single" w:color="auto" w:sz="4" w:space="0"/>
            </w:tcBorders>
            <w:shd w:val="clear" w:color="auto" w:fill="auto"/>
            <w:vAlign w:val="center"/>
          </w:tcPr>
          <w:p w14:paraId="1A612E4B">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因乙方管理问题造成的责任事故</w:t>
            </w:r>
          </w:p>
        </w:tc>
        <w:tc>
          <w:tcPr>
            <w:tcW w:w="2538" w:type="dxa"/>
            <w:tcBorders>
              <w:top w:val="single" w:color="auto" w:sz="4" w:space="0"/>
              <w:left w:val="single" w:color="auto" w:sz="4" w:space="0"/>
              <w:bottom w:val="single" w:color="auto" w:sz="4" w:space="0"/>
              <w:right w:val="single" w:color="auto" w:sz="4" w:space="0"/>
            </w:tcBorders>
            <w:shd w:val="clear" w:color="auto" w:fill="auto"/>
            <w:vAlign w:val="center"/>
          </w:tcPr>
          <w:p w14:paraId="4A0F0B50">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每次 200-20000元</w:t>
            </w:r>
          </w:p>
        </w:tc>
        <w:tc>
          <w:tcPr>
            <w:tcW w:w="1499" w:type="dxa"/>
            <w:tcBorders>
              <w:top w:val="single" w:color="auto" w:sz="4" w:space="0"/>
              <w:left w:val="single" w:color="auto" w:sz="4" w:space="0"/>
              <w:bottom w:val="single" w:color="auto" w:sz="4" w:space="0"/>
              <w:right w:val="single" w:color="auto" w:sz="4" w:space="0"/>
            </w:tcBorders>
            <w:shd w:val="clear" w:color="auto" w:fill="auto"/>
            <w:vAlign w:val="center"/>
          </w:tcPr>
          <w:p w14:paraId="236BADA9">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情节严重终止合同，并依法追</w:t>
            </w:r>
            <w:r>
              <w:rPr>
                <w:rFonts w:hint="eastAsia" w:ascii="宋体" w:hAnsi="宋体"/>
                <w:lang w:val="en-US" w:eastAsia="zh-CN"/>
              </w:rPr>
              <w:t>究</w:t>
            </w:r>
            <w:r>
              <w:rPr>
                <w:rFonts w:hint="eastAsia" w:ascii="宋体" w:hAnsi="宋体"/>
              </w:rPr>
              <w:t>乙方责任</w:t>
            </w:r>
          </w:p>
        </w:tc>
      </w:tr>
      <w:tr w14:paraId="5824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340" w:hRule="atLeast"/>
          <w:jc w:val="center"/>
        </w:trPr>
        <w:tc>
          <w:tcPr>
            <w:tcW w:w="880" w:type="dxa"/>
            <w:tcBorders>
              <w:top w:val="single" w:color="auto" w:sz="4" w:space="0"/>
              <w:left w:val="single" w:color="auto" w:sz="4" w:space="0"/>
              <w:bottom w:val="single" w:color="auto" w:sz="4" w:space="0"/>
              <w:right w:val="single" w:color="auto" w:sz="4" w:space="0"/>
            </w:tcBorders>
            <w:shd w:val="clear" w:color="auto" w:fill="auto"/>
            <w:vAlign w:val="center"/>
          </w:tcPr>
          <w:p w14:paraId="61221922">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rPr>
              <w:t>EHS1</w:t>
            </w:r>
            <w:r>
              <w:rPr>
                <w:rFonts w:hint="eastAsia" w:ascii="宋体" w:hAnsi="宋体"/>
                <w:lang w:val="en-US" w:eastAsia="zh-CN"/>
              </w:rPr>
              <w:t>1</w:t>
            </w:r>
          </w:p>
        </w:tc>
        <w:tc>
          <w:tcPr>
            <w:tcW w:w="4416" w:type="dxa"/>
            <w:tcBorders>
              <w:top w:val="single" w:color="auto" w:sz="4" w:space="0"/>
              <w:left w:val="single" w:color="auto" w:sz="4" w:space="0"/>
              <w:bottom w:val="single" w:color="auto" w:sz="4" w:space="0"/>
              <w:right w:val="single" w:color="auto" w:sz="4" w:space="0"/>
            </w:tcBorders>
            <w:shd w:val="clear" w:color="auto" w:fill="auto"/>
            <w:vAlign w:val="center"/>
          </w:tcPr>
          <w:p w14:paraId="7A3FC8CD">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未经甲方同意擅自动用使用甲方设备设施工具</w:t>
            </w:r>
          </w:p>
        </w:tc>
        <w:tc>
          <w:tcPr>
            <w:tcW w:w="2538" w:type="dxa"/>
            <w:tcBorders>
              <w:top w:val="single" w:color="auto" w:sz="4" w:space="0"/>
              <w:left w:val="single" w:color="auto" w:sz="4" w:space="0"/>
              <w:bottom w:val="single" w:color="auto" w:sz="4" w:space="0"/>
              <w:right w:val="single" w:color="auto" w:sz="4" w:space="0"/>
            </w:tcBorders>
            <w:shd w:val="clear" w:color="auto" w:fill="auto"/>
            <w:vAlign w:val="center"/>
          </w:tcPr>
          <w:p w14:paraId="08D36E30">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每次 200</w:t>
            </w:r>
            <w:r>
              <w:rPr>
                <w:rFonts w:hint="eastAsia" w:ascii="宋体" w:hAnsi="宋体"/>
                <w:lang w:val="en-US" w:eastAsia="zh-CN"/>
              </w:rPr>
              <w:t>-2000</w:t>
            </w:r>
            <w:r>
              <w:rPr>
                <w:rFonts w:hint="eastAsia" w:ascii="宋体" w:hAnsi="宋体"/>
              </w:rPr>
              <w:t>元</w:t>
            </w:r>
          </w:p>
        </w:tc>
        <w:tc>
          <w:tcPr>
            <w:tcW w:w="1499" w:type="dxa"/>
            <w:tcBorders>
              <w:top w:val="single" w:color="auto" w:sz="4" w:space="0"/>
              <w:left w:val="single" w:color="auto" w:sz="4" w:space="0"/>
              <w:bottom w:val="single" w:color="auto" w:sz="4" w:space="0"/>
              <w:right w:val="single" w:color="auto" w:sz="4" w:space="0"/>
            </w:tcBorders>
            <w:shd w:val="clear" w:color="auto" w:fill="auto"/>
            <w:vAlign w:val="center"/>
          </w:tcPr>
          <w:p w14:paraId="16C2004D">
            <w:pPr>
              <w:snapToGrid/>
              <w:spacing w:before="0" w:beforeLines="0" w:after="0" w:afterLines="0" w:line="240" w:lineRule="auto"/>
              <w:ind w:firstLine="420" w:firstLineChars="200"/>
              <w:contextualSpacing/>
              <w:jc w:val="center"/>
              <w:rPr>
                <w:rFonts w:hint="eastAsia" w:ascii="宋体" w:hAnsi="宋体"/>
              </w:rPr>
            </w:pPr>
          </w:p>
        </w:tc>
      </w:tr>
      <w:tr w14:paraId="3CB91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left w:w="108" w:type="dxa"/>
            <w:bottom w:w="108" w:type="dxa"/>
            <w:right w:w="108" w:type="dxa"/>
          </w:tblCellMar>
        </w:tblPrEx>
        <w:trPr>
          <w:trHeight w:val="340" w:hRule="atLeast"/>
          <w:jc w:val="center"/>
        </w:trPr>
        <w:tc>
          <w:tcPr>
            <w:tcW w:w="880" w:type="dxa"/>
            <w:tcBorders>
              <w:top w:val="single" w:color="auto" w:sz="4" w:space="0"/>
              <w:left w:val="single" w:color="auto" w:sz="4" w:space="0"/>
              <w:bottom w:val="single" w:color="auto" w:sz="4" w:space="0"/>
              <w:right w:val="single" w:color="auto" w:sz="4" w:space="0"/>
            </w:tcBorders>
            <w:shd w:val="clear" w:color="auto" w:fill="auto"/>
            <w:vAlign w:val="center"/>
          </w:tcPr>
          <w:p w14:paraId="4DBA1F2D">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rPr>
              <w:t>EHS1</w:t>
            </w:r>
            <w:r>
              <w:rPr>
                <w:rFonts w:hint="eastAsia" w:ascii="宋体" w:hAnsi="宋体"/>
                <w:lang w:val="en-US" w:eastAsia="zh-CN"/>
              </w:rPr>
              <w:t>2</w:t>
            </w:r>
          </w:p>
        </w:tc>
        <w:tc>
          <w:tcPr>
            <w:tcW w:w="4416" w:type="dxa"/>
            <w:tcBorders>
              <w:top w:val="single" w:color="auto" w:sz="4" w:space="0"/>
              <w:left w:val="single" w:color="auto" w:sz="4" w:space="0"/>
              <w:bottom w:val="single" w:color="auto" w:sz="4" w:space="0"/>
              <w:right w:val="single" w:color="auto" w:sz="4" w:space="0"/>
            </w:tcBorders>
            <w:shd w:val="clear" w:color="auto" w:fill="auto"/>
            <w:vAlign w:val="center"/>
          </w:tcPr>
          <w:p w14:paraId="78D0BCAF">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其他违反安全卫生职业健康安全事项，但非本罚则列出者，酌情处罚</w:t>
            </w:r>
          </w:p>
        </w:tc>
        <w:tc>
          <w:tcPr>
            <w:tcW w:w="2538" w:type="dxa"/>
            <w:tcBorders>
              <w:top w:val="single" w:color="auto" w:sz="4" w:space="0"/>
              <w:left w:val="single" w:color="auto" w:sz="4" w:space="0"/>
              <w:bottom w:val="single" w:color="auto" w:sz="4" w:space="0"/>
              <w:right w:val="single" w:color="auto" w:sz="4" w:space="0"/>
            </w:tcBorders>
            <w:shd w:val="clear" w:color="auto" w:fill="auto"/>
            <w:vAlign w:val="center"/>
          </w:tcPr>
          <w:p w14:paraId="63DFA5E5">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lang w:val="en-US" w:eastAsia="zh-CN"/>
              </w:rPr>
              <w:t>每处每次200-100000元</w:t>
            </w:r>
          </w:p>
        </w:tc>
        <w:tc>
          <w:tcPr>
            <w:tcW w:w="1499" w:type="dxa"/>
            <w:tcBorders>
              <w:top w:val="single" w:color="auto" w:sz="4" w:space="0"/>
              <w:left w:val="single" w:color="auto" w:sz="4" w:space="0"/>
              <w:bottom w:val="single" w:color="auto" w:sz="4" w:space="0"/>
              <w:right w:val="single" w:color="auto" w:sz="4" w:space="0"/>
            </w:tcBorders>
            <w:shd w:val="clear" w:color="auto" w:fill="auto"/>
            <w:vAlign w:val="center"/>
          </w:tcPr>
          <w:p w14:paraId="01ED68F2">
            <w:pPr>
              <w:snapToGrid/>
              <w:spacing w:before="0" w:beforeLines="0" w:after="0" w:afterLines="0" w:line="240" w:lineRule="auto"/>
              <w:ind w:firstLine="420" w:firstLineChars="200"/>
              <w:contextualSpacing/>
              <w:jc w:val="center"/>
              <w:rPr>
                <w:rFonts w:hint="eastAsia" w:ascii="宋体" w:hAnsi="宋体"/>
              </w:rPr>
            </w:pPr>
          </w:p>
        </w:tc>
      </w:tr>
    </w:tbl>
    <w:p w14:paraId="61530566">
      <w:pPr>
        <w:spacing w:before="156" w:beforeLines="50" w:after="156" w:afterLines="50" w:line="360" w:lineRule="auto"/>
        <w:ind w:firstLine="420" w:firstLineChars="200"/>
        <w:contextualSpacing/>
        <w:rPr>
          <w:rFonts w:hint="eastAsia" w:ascii="宋体" w:hAnsi="宋体"/>
        </w:rPr>
      </w:pPr>
    </w:p>
    <w:p w14:paraId="6C617F97">
      <w:pPr>
        <w:spacing w:before="156" w:beforeLines="50" w:after="156" w:afterLines="50" w:line="360" w:lineRule="auto"/>
        <w:ind w:firstLine="420" w:firstLineChars="200"/>
        <w:contextualSpacing/>
        <w:rPr>
          <w:rFonts w:hint="eastAsia" w:ascii="宋体" w:hAnsi="宋体"/>
        </w:rPr>
      </w:pPr>
    </w:p>
    <w:p w14:paraId="7548423C">
      <w:pPr>
        <w:spacing w:before="156" w:beforeLines="50" w:after="156" w:afterLines="50" w:line="360" w:lineRule="auto"/>
        <w:ind w:firstLine="420" w:firstLineChars="200"/>
        <w:contextualSpacing/>
        <w:rPr>
          <w:rFonts w:hint="eastAsia" w:ascii="宋体" w:hAnsi="宋体"/>
        </w:rPr>
      </w:pPr>
      <w:r>
        <w:rPr>
          <w:rFonts w:hint="eastAsia" w:ascii="宋体" w:hAnsi="宋体"/>
        </w:rPr>
        <w:t>4.7.2 文明</w:t>
      </w:r>
      <w:r>
        <w:rPr>
          <w:rFonts w:hint="eastAsia" w:ascii="宋体" w:hAnsi="宋体"/>
          <w:lang w:val="en-US" w:eastAsia="zh-CN"/>
        </w:rPr>
        <w:t>作业</w:t>
      </w:r>
      <w:r>
        <w:rPr>
          <w:rFonts w:hint="eastAsia" w:ascii="宋体" w:hAnsi="宋体"/>
        </w:rPr>
        <w:t>管理</w:t>
      </w:r>
    </w:p>
    <w:tbl>
      <w:tblPr>
        <w:tblStyle w:val="32"/>
        <w:tblW w:w="93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08" w:type="dxa"/>
          <w:left w:w="108" w:type="dxa"/>
          <w:bottom w:w="108" w:type="dxa"/>
          <w:right w:w="108" w:type="dxa"/>
        </w:tblCellMar>
      </w:tblPr>
      <w:tblGrid>
        <w:gridCol w:w="899"/>
        <w:gridCol w:w="4419"/>
        <w:gridCol w:w="2538"/>
        <w:gridCol w:w="1516"/>
      </w:tblGrid>
      <w:tr w14:paraId="30A7B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567"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A8E9E">
            <w:pPr>
              <w:snapToGrid/>
              <w:spacing w:before="0" w:beforeLines="0" w:after="0" w:afterLines="0" w:line="240" w:lineRule="auto"/>
              <w:ind w:firstLine="0" w:firstLineChars="0"/>
              <w:contextualSpacing/>
              <w:jc w:val="center"/>
              <w:rPr>
                <w:rFonts w:hint="eastAsia" w:ascii="宋体" w:hAnsi="宋体"/>
                <w:b/>
                <w:bCs/>
              </w:rPr>
            </w:pPr>
            <w:r>
              <w:rPr>
                <w:rFonts w:hint="eastAsia" w:ascii="宋体" w:hAnsi="宋体"/>
                <w:b/>
                <w:bCs/>
              </w:rPr>
              <w:t>序号</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07647">
            <w:pPr>
              <w:snapToGrid/>
              <w:spacing w:before="0" w:beforeLines="0" w:after="0" w:afterLines="0" w:line="240" w:lineRule="auto"/>
              <w:ind w:firstLine="0" w:firstLineChars="0"/>
              <w:contextualSpacing/>
              <w:jc w:val="center"/>
              <w:rPr>
                <w:rFonts w:hint="eastAsia" w:ascii="宋体" w:hAnsi="宋体"/>
                <w:b/>
                <w:bCs/>
              </w:rPr>
            </w:pPr>
            <w:r>
              <w:rPr>
                <w:rFonts w:hint="eastAsia" w:ascii="宋体" w:hAnsi="宋体"/>
                <w:b/>
                <w:bCs/>
              </w:rPr>
              <w:t>违章内容</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674A5">
            <w:pPr>
              <w:snapToGrid/>
              <w:spacing w:before="0" w:beforeLines="0" w:after="0" w:afterLines="0" w:line="240" w:lineRule="auto"/>
              <w:ind w:firstLine="0" w:firstLineChars="0"/>
              <w:contextualSpacing/>
              <w:jc w:val="center"/>
              <w:rPr>
                <w:rFonts w:hint="eastAsia" w:ascii="宋体" w:hAnsi="宋体"/>
                <w:b/>
                <w:bCs/>
              </w:rPr>
            </w:pPr>
            <w:r>
              <w:rPr>
                <w:rFonts w:hint="eastAsia" w:ascii="宋体" w:hAnsi="宋体"/>
                <w:b/>
                <w:bCs/>
              </w:rPr>
              <w:t>罚款金额</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B0A82">
            <w:pPr>
              <w:snapToGrid/>
              <w:spacing w:before="0" w:beforeLines="0" w:after="0" w:afterLines="0" w:line="240" w:lineRule="auto"/>
              <w:ind w:firstLine="0" w:firstLineChars="0"/>
              <w:contextualSpacing/>
              <w:jc w:val="center"/>
              <w:rPr>
                <w:rFonts w:hint="eastAsia" w:ascii="宋体" w:hAnsi="宋体"/>
                <w:b/>
                <w:bCs/>
              </w:rPr>
            </w:pPr>
            <w:r>
              <w:rPr>
                <w:rFonts w:hint="eastAsia" w:ascii="宋体" w:hAnsi="宋体"/>
                <w:b/>
                <w:bCs/>
              </w:rPr>
              <w:t>备注</w:t>
            </w:r>
          </w:p>
        </w:tc>
      </w:tr>
      <w:tr w14:paraId="5551C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234B1">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CC01</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74451">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rPr>
              <w:t>进入</w:t>
            </w:r>
            <w:r>
              <w:rPr>
                <w:rFonts w:hint="eastAsia" w:ascii="宋体" w:hAnsi="宋体"/>
                <w:lang w:val="en-US" w:eastAsia="zh-CN"/>
              </w:rPr>
              <w:t>甲方生产区域</w:t>
            </w:r>
            <w:r>
              <w:rPr>
                <w:rFonts w:hint="eastAsia" w:ascii="宋体" w:hAnsi="宋体"/>
              </w:rPr>
              <w:t>后未佩戴安全帽或未系帽带</w:t>
            </w:r>
            <w:r>
              <w:rPr>
                <w:rFonts w:hint="eastAsia" w:ascii="宋体" w:hAnsi="宋体"/>
                <w:lang w:eastAsia="zh-CN"/>
              </w:rPr>
              <w:t>、</w:t>
            </w:r>
            <w:r>
              <w:rPr>
                <w:rFonts w:hint="eastAsia" w:ascii="宋体" w:hAnsi="宋体"/>
                <w:lang w:val="en-US" w:eastAsia="zh-CN"/>
              </w:rPr>
              <w:t>未穿着反光背心</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755CA">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rPr>
              <w:t>每人每次 200元</w:t>
            </w:r>
          </w:p>
        </w:tc>
        <w:tc>
          <w:tcPr>
            <w:tcW w:w="1516" w:type="dxa"/>
            <w:vMerge w:val="restart"/>
            <w:tcBorders>
              <w:top w:val="single" w:color="000000" w:sz="4" w:space="0"/>
              <w:left w:val="single" w:color="000000" w:sz="4" w:space="0"/>
              <w:right w:val="single" w:color="000000" w:sz="4" w:space="0"/>
            </w:tcBorders>
            <w:shd w:val="clear" w:color="auto" w:fill="auto"/>
            <w:vAlign w:val="center"/>
          </w:tcPr>
          <w:p w14:paraId="72959E5E">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lang w:val="en-US" w:eastAsia="zh-CN"/>
              </w:rPr>
              <w:t>要求立即改正或劝离厂区</w:t>
            </w:r>
          </w:p>
        </w:tc>
      </w:tr>
      <w:tr w14:paraId="3C2C7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1EF6C">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CC0</w:t>
            </w:r>
            <w:r>
              <w:rPr>
                <w:rFonts w:hint="eastAsia" w:ascii="宋体" w:hAnsi="宋体"/>
                <w:lang w:val="en-US" w:eastAsia="zh-CN"/>
              </w:rPr>
              <w:t>2</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269B9">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rPr>
              <w:t>进入</w:t>
            </w:r>
            <w:r>
              <w:rPr>
                <w:rFonts w:hint="eastAsia" w:ascii="宋体" w:hAnsi="宋体"/>
                <w:lang w:val="en-US" w:eastAsia="zh-CN"/>
              </w:rPr>
              <w:t>生产区区域</w:t>
            </w:r>
            <w:r>
              <w:rPr>
                <w:rFonts w:hint="eastAsia" w:ascii="宋体" w:hAnsi="宋体"/>
              </w:rPr>
              <w:t>内赤膊、穿背心、拖鞋、短裤</w:t>
            </w:r>
            <w:r>
              <w:rPr>
                <w:rFonts w:hint="eastAsia" w:ascii="宋体" w:hAnsi="宋体"/>
                <w:lang w:eastAsia="zh-CN"/>
              </w:rPr>
              <w:t>、</w:t>
            </w:r>
            <w:r>
              <w:rPr>
                <w:rFonts w:hint="eastAsia" w:ascii="宋体" w:hAnsi="宋体"/>
                <w:lang w:val="en-US" w:eastAsia="zh-CN"/>
              </w:rPr>
              <w:t>裙子</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7048E">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每人每次 200元</w:t>
            </w:r>
          </w:p>
        </w:tc>
        <w:tc>
          <w:tcPr>
            <w:tcW w:w="1516" w:type="dxa"/>
            <w:vMerge w:val="continue"/>
            <w:tcBorders>
              <w:left w:val="single" w:color="000000" w:sz="4" w:space="0"/>
              <w:right w:val="single" w:color="000000" w:sz="4" w:space="0"/>
            </w:tcBorders>
            <w:shd w:val="clear" w:color="auto" w:fill="auto"/>
            <w:vAlign w:val="center"/>
          </w:tcPr>
          <w:p w14:paraId="400065BE">
            <w:pPr>
              <w:snapToGrid/>
              <w:spacing w:before="0" w:beforeLines="0" w:after="0" w:afterLines="0" w:line="240" w:lineRule="auto"/>
              <w:ind w:firstLine="420" w:firstLineChars="200"/>
              <w:contextualSpacing/>
              <w:jc w:val="center"/>
              <w:rPr>
                <w:rFonts w:hint="eastAsia" w:ascii="宋体" w:hAnsi="宋体"/>
              </w:rPr>
            </w:pPr>
          </w:p>
        </w:tc>
      </w:tr>
      <w:tr w14:paraId="0B81F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704F7">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rPr>
              <w:t>CC0</w:t>
            </w:r>
            <w:r>
              <w:rPr>
                <w:rFonts w:hint="eastAsia" w:ascii="宋体" w:hAnsi="宋体"/>
                <w:lang w:val="en-US" w:eastAsia="zh-CN"/>
              </w:rPr>
              <w:t>3</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C252A">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未在规定区域抽烟</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8F3AB">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每人每次 500元</w:t>
            </w:r>
          </w:p>
          <w:p w14:paraId="7B73BE71">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危险区域 1000元</w:t>
            </w:r>
          </w:p>
        </w:tc>
        <w:tc>
          <w:tcPr>
            <w:tcW w:w="1516" w:type="dxa"/>
            <w:vMerge w:val="continue"/>
            <w:tcBorders>
              <w:left w:val="single" w:color="000000" w:sz="4" w:space="0"/>
              <w:right w:val="single" w:color="000000" w:sz="4" w:space="0"/>
            </w:tcBorders>
            <w:shd w:val="clear" w:color="auto" w:fill="auto"/>
            <w:vAlign w:val="center"/>
          </w:tcPr>
          <w:p w14:paraId="437555C1">
            <w:pPr>
              <w:snapToGrid/>
              <w:spacing w:before="0" w:beforeLines="0" w:after="0" w:afterLines="0" w:line="240" w:lineRule="auto"/>
              <w:ind w:firstLine="420" w:firstLineChars="200"/>
              <w:contextualSpacing/>
              <w:jc w:val="center"/>
              <w:rPr>
                <w:rFonts w:hint="eastAsia" w:ascii="宋体" w:hAnsi="宋体"/>
              </w:rPr>
            </w:pPr>
          </w:p>
        </w:tc>
      </w:tr>
      <w:tr w14:paraId="2382D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C591A">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rPr>
              <w:t>CC0</w:t>
            </w:r>
            <w:r>
              <w:rPr>
                <w:rFonts w:hint="eastAsia" w:ascii="宋体" w:hAnsi="宋体"/>
                <w:lang w:val="en-US" w:eastAsia="zh-CN"/>
              </w:rPr>
              <w:t>4</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B5254">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未在规定的区域倾倒垃圾</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659B8">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w:t>
            </w:r>
            <w:r>
              <w:rPr>
                <w:rFonts w:hint="eastAsia" w:ascii="宋体" w:hAnsi="宋体"/>
                <w:lang w:val="en-US" w:eastAsia="zh-CN"/>
              </w:rPr>
              <w:t>处</w:t>
            </w:r>
            <w:r>
              <w:rPr>
                <w:rFonts w:hint="eastAsia" w:ascii="宋体" w:hAnsi="宋体"/>
              </w:rPr>
              <w:t>每次 200</w:t>
            </w:r>
            <w:r>
              <w:rPr>
                <w:rFonts w:hint="eastAsia" w:ascii="宋体" w:hAnsi="宋体"/>
                <w:lang w:val="en-US" w:eastAsia="zh-CN"/>
              </w:rPr>
              <w:t>-1000</w:t>
            </w:r>
            <w:r>
              <w:rPr>
                <w:rFonts w:hint="eastAsia" w:ascii="宋体" w:hAnsi="宋体"/>
              </w:rPr>
              <w:t>元</w:t>
            </w:r>
          </w:p>
        </w:tc>
        <w:tc>
          <w:tcPr>
            <w:tcW w:w="1516" w:type="dxa"/>
            <w:vMerge w:val="continue"/>
            <w:tcBorders>
              <w:left w:val="single" w:color="000000" w:sz="4" w:space="0"/>
              <w:right w:val="single" w:color="000000" w:sz="4" w:space="0"/>
            </w:tcBorders>
            <w:shd w:val="clear" w:color="auto" w:fill="auto"/>
            <w:vAlign w:val="center"/>
          </w:tcPr>
          <w:p w14:paraId="04A52FDE">
            <w:pPr>
              <w:snapToGrid/>
              <w:spacing w:before="0" w:beforeLines="0" w:after="0" w:afterLines="0" w:line="240" w:lineRule="auto"/>
              <w:ind w:firstLine="420" w:firstLineChars="200"/>
              <w:contextualSpacing/>
              <w:jc w:val="center"/>
              <w:rPr>
                <w:rFonts w:hint="eastAsia" w:ascii="宋体" w:hAnsi="宋体"/>
              </w:rPr>
            </w:pPr>
          </w:p>
        </w:tc>
      </w:tr>
      <w:tr w14:paraId="0C684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DF9CF">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rPr>
              <w:t>CC0</w:t>
            </w:r>
            <w:r>
              <w:rPr>
                <w:rFonts w:hint="eastAsia" w:ascii="宋体" w:hAnsi="宋体"/>
                <w:lang w:val="en-US" w:eastAsia="zh-CN"/>
              </w:rPr>
              <w:t>5</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A8EDD">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在</w:t>
            </w:r>
            <w:r>
              <w:rPr>
                <w:rFonts w:hint="eastAsia" w:ascii="宋体" w:hAnsi="宋体"/>
                <w:lang w:val="en-US" w:eastAsia="zh-CN"/>
              </w:rPr>
              <w:t>生产区域</w:t>
            </w:r>
            <w:r>
              <w:rPr>
                <w:rFonts w:hint="eastAsia" w:ascii="宋体" w:hAnsi="宋体"/>
              </w:rPr>
              <w:t>现场席地躺睡</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39212">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每人每次 500元</w:t>
            </w:r>
          </w:p>
        </w:tc>
        <w:tc>
          <w:tcPr>
            <w:tcW w:w="1516" w:type="dxa"/>
            <w:vMerge w:val="continue"/>
            <w:tcBorders>
              <w:left w:val="single" w:color="000000" w:sz="4" w:space="0"/>
              <w:right w:val="single" w:color="000000" w:sz="4" w:space="0"/>
            </w:tcBorders>
            <w:shd w:val="clear" w:color="auto" w:fill="auto"/>
            <w:vAlign w:val="center"/>
          </w:tcPr>
          <w:p w14:paraId="3AB52A95">
            <w:pPr>
              <w:snapToGrid/>
              <w:spacing w:before="0" w:beforeLines="0" w:after="0" w:afterLines="0" w:line="240" w:lineRule="auto"/>
              <w:ind w:firstLine="420" w:firstLineChars="200"/>
              <w:contextualSpacing/>
              <w:jc w:val="center"/>
              <w:rPr>
                <w:rFonts w:hint="eastAsia" w:ascii="宋体" w:hAnsi="宋体"/>
              </w:rPr>
            </w:pPr>
          </w:p>
        </w:tc>
      </w:tr>
      <w:tr w14:paraId="04729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D070F">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rPr>
              <w:t>CC0</w:t>
            </w:r>
            <w:r>
              <w:rPr>
                <w:rFonts w:hint="eastAsia" w:ascii="宋体" w:hAnsi="宋体"/>
                <w:lang w:val="en-US" w:eastAsia="zh-CN"/>
              </w:rPr>
              <w:t>6</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5AD24">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未在指定区域大小便、洗浴等</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1AFE4">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每人每次 500元</w:t>
            </w:r>
          </w:p>
        </w:tc>
        <w:tc>
          <w:tcPr>
            <w:tcW w:w="1516" w:type="dxa"/>
            <w:vMerge w:val="continue"/>
            <w:tcBorders>
              <w:left w:val="single" w:color="000000" w:sz="4" w:space="0"/>
              <w:right w:val="single" w:color="000000" w:sz="4" w:space="0"/>
            </w:tcBorders>
            <w:shd w:val="clear" w:color="auto" w:fill="auto"/>
            <w:vAlign w:val="center"/>
          </w:tcPr>
          <w:p w14:paraId="4710F239">
            <w:pPr>
              <w:snapToGrid/>
              <w:spacing w:before="0" w:beforeLines="0" w:after="0" w:afterLines="0" w:line="240" w:lineRule="auto"/>
              <w:ind w:firstLine="420" w:firstLineChars="200"/>
              <w:contextualSpacing/>
              <w:jc w:val="center"/>
              <w:rPr>
                <w:rFonts w:hint="eastAsia" w:ascii="宋体" w:hAnsi="宋体"/>
              </w:rPr>
            </w:pPr>
          </w:p>
        </w:tc>
      </w:tr>
      <w:tr w14:paraId="6A1EA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CEBBF">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rPr>
              <w:t>CC0</w:t>
            </w:r>
            <w:r>
              <w:rPr>
                <w:rFonts w:hint="eastAsia" w:ascii="宋体" w:hAnsi="宋体"/>
                <w:lang w:val="en-US" w:eastAsia="zh-CN"/>
              </w:rPr>
              <w:t>7</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FE896">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酒后进（含酒精性饮料、迷幻剂等）生产区</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2375">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每处每次 1000元</w:t>
            </w:r>
          </w:p>
        </w:tc>
        <w:tc>
          <w:tcPr>
            <w:tcW w:w="1516" w:type="dxa"/>
            <w:vMerge w:val="continue"/>
            <w:tcBorders>
              <w:left w:val="single" w:color="000000" w:sz="4" w:space="0"/>
              <w:bottom w:val="single" w:color="000000" w:sz="4" w:space="0"/>
              <w:right w:val="single" w:color="000000" w:sz="4" w:space="0"/>
            </w:tcBorders>
            <w:shd w:val="clear" w:color="auto" w:fill="auto"/>
            <w:vAlign w:val="center"/>
          </w:tcPr>
          <w:p w14:paraId="1CB05867">
            <w:pPr>
              <w:snapToGrid/>
              <w:spacing w:before="0" w:beforeLines="0" w:after="0" w:afterLines="0" w:line="240" w:lineRule="auto"/>
              <w:ind w:firstLine="420" w:firstLineChars="200"/>
              <w:contextualSpacing/>
              <w:jc w:val="center"/>
              <w:rPr>
                <w:rFonts w:hint="eastAsia" w:ascii="宋体" w:hAnsi="宋体"/>
              </w:rPr>
            </w:pPr>
          </w:p>
        </w:tc>
      </w:tr>
      <w:tr w14:paraId="17EFA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FF95E">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rPr>
              <w:t>CC0</w:t>
            </w:r>
            <w:r>
              <w:rPr>
                <w:rFonts w:hint="eastAsia" w:ascii="宋体" w:hAnsi="宋体"/>
                <w:lang w:val="en-US" w:eastAsia="zh-CN"/>
              </w:rPr>
              <w:t>8</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05686">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卸料区未及时进行现场清理、恢复完好</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B1B55">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每处每次 200元</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F332C">
            <w:pPr>
              <w:snapToGrid/>
              <w:spacing w:before="0" w:beforeLines="0" w:after="0" w:afterLines="0" w:line="240" w:lineRule="auto"/>
              <w:ind w:firstLine="420" w:firstLineChars="200"/>
              <w:contextualSpacing/>
              <w:jc w:val="center"/>
              <w:rPr>
                <w:rFonts w:hint="eastAsia" w:ascii="宋体" w:hAnsi="宋体"/>
              </w:rPr>
            </w:pPr>
          </w:p>
        </w:tc>
      </w:tr>
      <w:tr w14:paraId="4BFF5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703EC">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rPr>
              <w:t>CC0</w:t>
            </w:r>
            <w:r>
              <w:rPr>
                <w:rFonts w:hint="eastAsia" w:ascii="宋体" w:hAnsi="宋体"/>
                <w:lang w:val="en-US" w:eastAsia="zh-CN"/>
              </w:rPr>
              <w:t>9</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D5079">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其他违反国家相关标准或项目管理规定</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8261">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每次 200-20000元</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BDD6">
            <w:pPr>
              <w:snapToGrid/>
              <w:spacing w:before="0" w:beforeLines="0" w:after="0" w:afterLines="0" w:line="240" w:lineRule="auto"/>
              <w:ind w:firstLine="420" w:firstLineChars="200"/>
              <w:contextualSpacing/>
              <w:jc w:val="center"/>
              <w:rPr>
                <w:rFonts w:hint="eastAsia" w:ascii="宋体" w:hAnsi="宋体"/>
              </w:rPr>
            </w:pPr>
          </w:p>
        </w:tc>
      </w:tr>
    </w:tbl>
    <w:p w14:paraId="27C0E6E0">
      <w:pPr>
        <w:spacing w:before="156" w:beforeLines="50" w:after="156" w:afterLines="50" w:line="360" w:lineRule="auto"/>
        <w:ind w:firstLine="420" w:firstLineChars="200"/>
        <w:contextualSpacing/>
        <w:rPr>
          <w:rFonts w:hint="eastAsia" w:ascii="宋体" w:hAnsi="宋体"/>
        </w:rPr>
      </w:pPr>
      <w:r>
        <w:rPr>
          <w:rFonts w:hint="eastAsia" w:ascii="宋体" w:hAnsi="宋体"/>
        </w:rPr>
        <w:t>4.7.</w:t>
      </w:r>
      <w:r>
        <w:rPr>
          <w:rFonts w:hint="eastAsia" w:ascii="宋体" w:hAnsi="宋体"/>
          <w:lang w:val="en-US" w:eastAsia="zh-CN"/>
        </w:rPr>
        <w:t>3</w:t>
      </w:r>
      <w:r>
        <w:rPr>
          <w:rFonts w:hint="eastAsia" w:ascii="宋体" w:hAnsi="宋体"/>
        </w:rPr>
        <w:t xml:space="preserve"> 安全保卫管理</w:t>
      </w:r>
    </w:p>
    <w:tbl>
      <w:tblPr>
        <w:tblStyle w:val="32"/>
        <w:tblW w:w="940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08" w:type="dxa"/>
          <w:left w:w="108" w:type="dxa"/>
          <w:bottom w:w="108" w:type="dxa"/>
          <w:right w:w="108" w:type="dxa"/>
        </w:tblCellMar>
      </w:tblPr>
      <w:tblGrid>
        <w:gridCol w:w="915"/>
        <w:gridCol w:w="4419"/>
        <w:gridCol w:w="2538"/>
        <w:gridCol w:w="1531"/>
      </w:tblGrid>
      <w:tr w14:paraId="74F8C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567"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72A37">
            <w:pPr>
              <w:snapToGrid/>
              <w:spacing w:before="0" w:beforeLines="0" w:after="0" w:afterLines="0" w:line="240" w:lineRule="auto"/>
              <w:ind w:firstLine="0" w:firstLineChars="0"/>
              <w:contextualSpacing/>
              <w:jc w:val="center"/>
              <w:rPr>
                <w:rFonts w:hint="eastAsia" w:ascii="宋体" w:hAnsi="宋体"/>
                <w:b/>
                <w:bCs/>
              </w:rPr>
            </w:pPr>
            <w:r>
              <w:rPr>
                <w:rFonts w:hint="eastAsia" w:ascii="宋体" w:hAnsi="宋体"/>
                <w:b/>
                <w:bCs/>
              </w:rPr>
              <w:t>序号</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F5173">
            <w:pPr>
              <w:snapToGrid/>
              <w:spacing w:before="0" w:beforeLines="0" w:after="0" w:afterLines="0" w:line="240" w:lineRule="auto"/>
              <w:ind w:firstLine="0" w:firstLineChars="0"/>
              <w:contextualSpacing/>
              <w:jc w:val="center"/>
              <w:rPr>
                <w:rFonts w:hint="eastAsia" w:ascii="宋体" w:hAnsi="宋体"/>
                <w:b/>
                <w:bCs/>
              </w:rPr>
            </w:pPr>
            <w:r>
              <w:rPr>
                <w:rFonts w:hint="eastAsia" w:ascii="宋体" w:hAnsi="宋体"/>
                <w:b/>
                <w:bCs/>
              </w:rPr>
              <w:t>违章内容</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142F8">
            <w:pPr>
              <w:snapToGrid/>
              <w:spacing w:before="0" w:beforeLines="0" w:after="0" w:afterLines="0" w:line="240" w:lineRule="auto"/>
              <w:ind w:firstLine="0" w:firstLineChars="0"/>
              <w:contextualSpacing/>
              <w:jc w:val="center"/>
              <w:rPr>
                <w:rFonts w:hint="eastAsia" w:ascii="宋体" w:hAnsi="宋体"/>
                <w:b/>
                <w:bCs/>
              </w:rPr>
            </w:pPr>
            <w:r>
              <w:rPr>
                <w:rFonts w:hint="eastAsia" w:ascii="宋体" w:hAnsi="宋体"/>
                <w:b/>
                <w:bCs/>
              </w:rPr>
              <w:t>罚款金额</w:t>
            </w: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2FBC">
            <w:pPr>
              <w:snapToGrid/>
              <w:spacing w:before="0" w:beforeLines="0" w:after="0" w:afterLines="0" w:line="240" w:lineRule="auto"/>
              <w:ind w:firstLine="0" w:firstLineChars="0"/>
              <w:contextualSpacing/>
              <w:jc w:val="center"/>
              <w:rPr>
                <w:rFonts w:hint="eastAsia" w:ascii="宋体" w:hAnsi="宋体"/>
                <w:b/>
                <w:bCs/>
              </w:rPr>
            </w:pPr>
            <w:r>
              <w:rPr>
                <w:rFonts w:hint="eastAsia" w:ascii="宋体" w:hAnsi="宋体"/>
                <w:b/>
                <w:bCs/>
              </w:rPr>
              <w:t>备注</w:t>
            </w:r>
          </w:p>
        </w:tc>
      </w:tr>
      <w:tr w14:paraId="0CE44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6590B">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SG01</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BE5B5">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未经同意随意打开</w:t>
            </w:r>
            <w:r>
              <w:rPr>
                <w:rFonts w:hint="eastAsia" w:ascii="宋体" w:hAnsi="宋体"/>
                <w:lang w:val="en-US" w:eastAsia="zh-CN"/>
              </w:rPr>
              <w:t>园区各</w:t>
            </w:r>
            <w:r>
              <w:rPr>
                <w:rFonts w:hint="eastAsia" w:ascii="宋体" w:hAnsi="宋体"/>
              </w:rPr>
              <w:t>围墙围挡</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1B02">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每处每次 2000元</w:t>
            </w: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3CA4B">
            <w:pPr>
              <w:snapToGrid/>
              <w:spacing w:before="0" w:beforeLines="0" w:after="0" w:afterLines="0" w:line="240" w:lineRule="auto"/>
              <w:ind w:firstLine="420" w:firstLineChars="200"/>
              <w:contextualSpacing/>
              <w:jc w:val="center"/>
              <w:rPr>
                <w:rFonts w:hint="eastAsia" w:ascii="宋体" w:hAnsi="宋体"/>
              </w:rPr>
            </w:pPr>
          </w:p>
        </w:tc>
      </w:tr>
      <w:tr w14:paraId="0EDAA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E6219">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SG02</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6246A">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违规</w:t>
            </w:r>
            <w:r>
              <w:rPr>
                <w:rFonts w:hint="eastAsia" w:ascii="宋体" w:hAnsi="宋体"/>
                <w:lang w:val="en-US" w:eastAsia="zh-CN"/>
              </w:rPr>
              <w:t>硬闯、攀爬、</w:t>
            </w:r>
            <w:r>
              <w:rPr>
                <w:rFonts w:hint="eastAsia" w:ascii="宋体" w:hAnsi="宋体"/>
              </w:rPr>
              <w:t>翻越、</w:t>
            </w:r>
            <w:r>
              <w:rPr>
                <w:rFonts w:hint="eastAsia" w:ascii="宋体" w:hAnsi="宋体"/>
                <w:lang w:val="en-US" w:eastAsia="zh-CN"/>
              </w:rPr>
              <w:t>穿钻、</w:t>
            </w:r>
            <w:r>
              <w:rPr>
                <w:rFonts w:hint="eastAsia" w:ascii="宋体" w:hAnsi="宋体"/>
              </w:rPr>
              <w:t>破坏</w:t>
            </w:r>
            <w:r>
              <w:rPr>
                <w:rFonts w:hint="eastAsia" w:ascii="宋体" w:hAnsi="宋体"/>
                <w:lang w:val="en-US" w:eastAsia="zh-CN"/>
              </w:rPr>
              <w:t>园区</w:t>
            </w:r>
            <w:r>
              <w:rPr>
                <w:rFonts w:hint="eastAsia" w:ascii="宋体" w:hAnsi="宋体"/>
              </w:rPr>
              <w:t>围墙、围挡</w:t>
            </w:r>
            <w:r>
              <w:rPr>
                <w:rFonts w:hint="eastAsia" w:ascii="宋体" w:hAnsi="宋体"/>
                <w:lang w:val="en-US" w:eastAsia="zh-CN"/>
              </w:rPr>
              <w:t>或道闸</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CFA52">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每处每次 1000元</w:t>
            </w: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4CC52">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立即修复</w:t>
            </w:r>
            <w:r>
              <w:rPr>
                <w:rFonts w:hint="eastAsia" w:ascii="宋体" w:hAnsi="宋体"/>
                <w:lang w:eastAsia="zh-CN"/>
              </w:rPr>
              <w:t>；</w:t>
            </w:r>
            <w:r>
              <w:rPr>
                <w:rFonts w:hint="eastAsia" w:ascii="宋体" w:hAnsi="宋体"/>
                <w:lang w:val="en-US" w:eastAsia="zh-CN"/>
              </w:rPr>
              <w:t>围墙围挡或道闸有损坏的，照价赔偿</w:t>
            </w:r>
          </w:p>
        </w:tc>
      </w:tr>
      <w:tr w14:paraId="5BAEF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157B2">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SG03</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2E468">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进出</w:t>
            </w:r>
            <w:r>
              <w:rPr>
                <w:rFonts w:hint="eastAsia" w:ascii="宋体" w:hAnsi="宋体"/>
                <w:lang w:val="en-US" w:eastAsia="zh-CN"/>
              </w:rPr>
              <w:t>厂内</w:t>
            </w:r>
            <w:r>
              <w:rPr>
                <w:rFonts w:hint="eastAsia" w:ascii="宋体" w:hAnsi="宋体"/>
              </w:rPr>
              <w:t>不配合检查，强行闯门</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69625">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 xml:space="preserve">每处每次 </w:t>
            </w:r>
            <w:r>
              <w:rPr>
                <w:rFonts w:hint="eastAsia" w:ascii="宋体" w:hAnsi="宋体"/>
                <w:lang w:val="en-US" w:eastAsia="zh-CN"/>
              </w:rPr>
              <w:t>1</w:t>
            </w:r>
            <w:r>
              <w:rPr>
                <w:rFonts w:hint="eastAsia" w:ascii="宋体" w:hAnsi="宋体"/>
              </w:rPr>
              <w:t>000元</w:t>
            </w: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F2223">
            <w:pPr>
              <w:snapToGrid/>
              <w:spacing w:before="0" w:beforeLines="0" w:after="0" w:afterLines="0" w:line="240" w:lineRule="auto"/>
              <w:ind w:firstLine="420" w:firstLineChars="200"/>
              <w:contextualSpacing/>
              <w:jc w:val="center"/>
              <w:rPr>
                <w:rFonts w:hint="eastAsia" w:ascii="宋体" w:hAnsi="宋体"/>
              </w:rPr>
            </w:pPr>
          </w:p>
        </w:tc>
      </w:tr>
      <w:tr w14:paraId="62CE6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C2F9">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SG04</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6F2C6">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厂内不按规定停靠车辆、占道，相关人员不走行人通道</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9E105">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每处每次 200元</w:t>
            </w: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5F5F1">
            <w:pPr>
              <w:snapToGrid/>
              <w:spacing w:before="0" w:beforeLines="0" w:after="0" w:afterLines="0" w:line="240" w:lineRule="auto"/>
              <w:ind w:firstLine="420" w:firstLineChars="200"/>
              <w:contextualSpacing/>
              <w:jc w:val="center"/>
              <w:rPr>
                <w:rFonts w:hint="eastAsia" w:ascii="宋体" w:hAnsi="宋体"/>
              </w:rPr>
            </w:pPr>
          </w:p>
        </w:tc>
      </w:tr>
      <w:tr w14:paraId="07094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4DCA4">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SG05</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475E0">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不服从交通调度、指挥</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FEBB0">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每处每次 200元</w:t>
            </w: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9458">
            <w:pPr>
              <w:snapToGrid/>
              <w:spacing w:before="0" w:beforeLines="0" w:after="0" w:afterLines="0" w:line="240" w:lineRule="auto"/>
              <w:ind w:firstLine="420" w:firstLineChars="200"/>
              <w:contextualSpacing/>
              <w:jc w:val="center"/>
              <w:rPr>
                <w:rFonts w:hint="eastAsia" w:ascii="宋体" w:hAnsi="宋体"/>
              </w:rPr>
            </w:pPr>
          </w:p>
        </w:tc>
      </w:tr>
      <w:tr w14:paraId="1D673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CCB92">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SG06</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05EB">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偷盗物品、材料等非放行单罗列物品</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B07C2">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每处每次 5000元</w:t>
            </w: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0986">
            <w:pPr>
              <w:snapToGrid/>
              <w:spacing w:before="0" w:beforeLines="0" w:after="0" w:afterLines="0" w:line="240" w:lineRule="auto"/>
              <w:ind w:firstLine="420" w:firstLineChars="200"/>
              <w:contextualSpacing/>
              <w:jc w:val="center"/>
              <w:rPr>
                <w:rFonts w:hint="eastAsia" w:ascii="宋体" w:hAnsi="宋体"/>
              </w:rPr>
            </w:pPr>
          </w:p>
        </w:tc>
      </w:tr>
      <w:tr w14:paraId="1FE5C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A5BC6">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SG07</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4E578">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运出物品与放行单不符合</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12BE">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每处每次 1000元</w:t>
            </w: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BEF9E">
            <w:pPr>
              <w:snapToGrid/>
              <w:spacing w:before="0" w:beforeLines="0" w:after="0" w:afterLines="0" w:line="240" w:lineRule="auto"/>
              <w:ind w:firstLine="420" w:firstLineChars="200"/>
              <w:contextualSpacing/>
              <w:jc w:val="center"/>
              <w:rPr>
                <w:rFonts w:hint="eastAsia" w:ascii="宋体" w:hAnsi="宋体"/>
              </w:rPr>
            </w:pPr>
          </w:p>
        </w:tc>
      </w:tr>
      <w:tr w14:paraId="40A28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61BA1">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SG08</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C2DEB">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必要时不配合安全引导、应急疏导等</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1E046">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每处每次 5000元</w:t>
            </w: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88B24">
            <w:pPr>
              <w:snapToGrid/>
              <w:spacing w:before="0" w:beforeLines="0" w:after="0" w:afterLines="0" w:line="240" w:lineRule="auto"/>
              <w:ind w:firstLine="420" w:firstLineChars="200"/>
              <w:contextualSpacing/>
              <w:jc w:val="center"/>
              <w:rPr>
                <w:rFonts w:hint="eastAsia" w:ascii="宋体" w:hAnsi="宋体"/>
              </w:rPr>
            </w:pPr>
          </w:p>
        </w:tc>
      </w:tr>
      <w:tr w14:paraId="5820B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F2776">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rPr>
              <w:t>SG</w:t>
            </w:r>
            <w:r>
              <w:rPr>
                <w:rFonts w:hint="eastAsia" w:ascii="宋体" w:hAnsi="宋体"/>
                <w:lang w:val="en-US" w:eastAsia="zh-CN"/>
              </w:rPr>
              <w:t>9</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D13CB">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其他违反国家相关标准或项目管理规定的</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FAE77">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每处每次 500-10000元</w:t>
            </w: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7FEC6">
            <w:pPr>
              <w:snapToGrid/>
              <w:spacing w:before="0" w:beforeLines="0" w:after="0" w:afterLines="0" w:line="240" w:lineRule="auto"/>
              <w:ind w:firstLine="420" w:firstLineChars="200"/>
              <w:contextualSpacing/>
              <w:jc w:val="center"/>
              <w:rPr>
                <w:rFonts w:hint="eastAsia" w:ascii="宋体" w:hAnsi="宋体"/>
              </w:rPr>
            </w:pPr>
          </w:p>
        </w:tc>
      </w:tr>
      <w:tr w14:paraId="5FF12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FB30">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rPr>
              <w:t>SG</w:t>
            </w:r>
            <w:r>
              <w:rPr>
                <w:rFonts w:hint="eastAsia" w:ascii="宋体" w:hAnsi="宋体"/>
                <w:lang w:val="en-US" w:eastAsia="zh-CN"/>
              </w:rPr>
              <w:t>10</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7F1FD">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破坏门禁、监控等设备、材料成品等</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3BFB">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每处每次3000元</w:t>
            </w: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682B3">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lang w:val="en-US" w:eastAsia="zh-CN"/>
              </w:rPr>
              <w:t>损失另计</w:t>
            </w:r>
          </w:p>
        </w:tc>
      </w:tr>
      <w:tr w14:paraId="49E16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99F11">
            <w:pPr>
              <w:snapToGrid/>
              <w:spacing w:before="0" w:beforeLines="0" w:after="0" w:afterLines="0" w:line="240" w:lineRule="auto"/>
              <w:ind w:firstLine="0" w:firstLineChars="0"/>
              <w:contextualSpacing/>
              <w:jc w:val="center"/>
              <w:rPr>
                <w:rFonts w:hint="eastAsia" w:ascii="宋体" w:hAnsi="宋体"/>
                <w:lang w:val="en-US" w:eastAsia="zh-CN"/>
              </w:rPr>
            </w:pPr>
            <w:r>
              <w:rPr>
                <w:rFonts w:hint="eastAsia" w:ascii="宋体" w:hAnsi="宋体"/>
              </w:rPr>
              <w:t>SG1</w:t>
            </w:r>
            <w:r>
              <w:rPr>
                <w:rFonts w:hint="eastAsia" w:ascii="宋体" w:hAnsi="宋体"/>
                <w:lang w:val="en-US" w:eastAsia="zh-CN"/>
              </w:rPr>
              <w:t>1</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75580">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未经甲方许可</w:t>
            </w:r>
            <w:r>
              <w:rPr>
                <w:rFonts w:hint="eastAsia" w:ascii="宋体" w:hAnsi="宋体"/>
                <w:lang w:val="en-US" w:eastAsia="zh-CN"/>
              </w:rPr>
              <w:t>的人员、车辆</w:t>
            </w:r>
            <w:r>
              <w:rPr>
                <w:rFonts w:hint="eastAsia" w:ascii="宋体" w:hAnsi="宋体"/>
              </w:rPr>
              <w:t>进入车间仓库或带无关人员</w:t>
            </w:r>
            <w:r>
              <w:rPr>
                <w:rFonts w:hint="eastAsia" w:ascii="宋体" w:hAnsi="宋体"/>
                <w:lang w:eastAsia="zh-CN"/>
              </w:rPr>
              <w:t>、</w:t>
            </w:r>
            <w:r>
              <w:rPr>
                <w:rFonts w:hint="eastAsia" w:ascii="宋体" w:hAnsi="宋体"/>
                <w:lang w:val="en-US" w:eastAsia="zh-CN"/>
              </w:rPr>
              <w:t>车辆</w:t>
            </w:r>
            <w:r>
              <w:rPr>
                <w:rFonts w:hint="eastAsia" w:ascii="宋体" w:hAnsi="宋体"/>
              </w:rPr>
              <w:t>进入生产区域</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59F89">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每人每次 500元</w:t>
            </w: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0EE3C">
            <w:pPr>
              <w:snapToGrid/>
              <w:spacing w:before="0" w:beforeLines="0" w:after="0" w:afterLines="0" w:line="240" w:lineRule="auto"/>
              <w:ind w:firstLine="420" w:firstLineChars="200"/>
              <w:contextualSpacing/>
              <w:jc w:val="center"/>
              <w:rPr>
                <w:rFonts w:hint="eastAsia" w:ascii="宋体" w:hAnsi="宋体"/>
              </w:rPr>
            </w:pPr>
          </w:p>
        </w:tc>
      </w:tr>
      <w:tr w14:paraId="6137C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89791">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SG1</w:t>
            </w:r>
            <w:r>
              <w:rPr>
                <w:rFonts w:hint="eastAsia" w:ascii="宋体" w:hAnsi="宋体"/>
                <w:lang w:val="en-US" w:eastAsia="zh-CN"/>
              </w:rPr>
              <w:t>2</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F127C">
            <w:pPr>
              <w:snapToGrid/>
              <w:spacing w:before="0" w:beforeLines="0" w:after="0" w:afterLines="0" w:line="240" w:lineRule="auto"/>
              <w:ind w:firstLine="420" w:firstLineChars="200"/>
              <w:contextualSpacing/>
              <w:jc w:val="center"/>
              <w:rPr>
                <w:rFonts w:hint="eastAsia" w:ascii="宋体" w:hAnsi="宋体"/>
              </w:rPr>
            </w:pPr>
            <w:r>
              <w:rPr>
                <w:rFonts w:hint="eastAsia" w:ascii="宋体" w:hAnsi="宋体"/>
                <w:lang w:val="en-US" w:eastAsia="zh-CN"/>
              </w:rPr>
              <w:t>未经甲方许可在园区拍照、摄像等</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CB7F8">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 xml:space="preserve">每人每次 </w:t>
            </w:r>
            <w:r>
              <w:rPr>
                <w:rFonts w:hint="eastAsia" w:ascii="宋体" w:hAnsi="宋体"/>
                <w:lang w:val="en-US" w:eastAsia="zh-CN"/>
              </w:rPr>
              <w:t>200</w:t>
            </w:r>
            <w:r>
              <w:rPr>
                <w:rFonts w:hint="eastAsia" w:ascii="宋体" w:hAnsi="宋体"/>
              </w:rPr>
              <w:t>元</w:t>
            </w:r>
          </w:p>
        </w:tc>
        <w:tc>
          <w:tcPr>
            <w:tcW w:w="1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E8E76">
            <w:pPr>
              <w:snapToGrid/>
              <w:spacing w:before="0" w:beforeLines="0" w:after="0" w:afterLines="0" w:line="240" w:lineRule="auto"/>
              <w:ind w:firstLine="420" w:firstLineChars="200"/>
              <w:contextualSpacing/>
              <w:jc w:val="center"/>
              <w:rPr>
                <w:rFonts w:hint="eastAsia" w:ascii="宋体" w:hAnsi="宋体"/>
              </w:rPr>
            </w:pPr>
          </w:p>
        </w:tc>
      </w:tr>
    </w:tbl>
    <w:p w14:paraId="7B227851">
      <w:pPr>
        <w:spacing w:before="156" w:beforeLines="50" w:after="156" w:afterLines="50" w:line="360" w:lineRule="auto"/>
        <w:ind w:firstLine="420" w:firstLineChars="200"/>
        <w:contextualSpacing/>
        <w:rPr>
          <w:rFonts w:hint="eastAsia" w:ascii="宋体" w:hAnsi="宋体"/>
        </w:rPr>
      </w:pPr>
      <w:r>
        <w:rPr>
          <w:rFonts w:hint="eastAsia" w:ascii="宋体" w:hAnsi="宋体"/>
        </w:rPr>
        <w:t>4.7.</w:t>
      </w:r>
      <w:r>
        <w:rPr>
          <w:rFonts w:hint="eastAsia" w:ascii="宋体" w:hAnsi="宋体"/>
          <w:lang w:val="en-US" w:eastAsia="zh-CN"/>
        </w:rPr>
        <w:t>4</w:t>
      </w:r>
      <w:r>
        <w:rPr>
          <w:rFonts w:hint="eastAsia" w:ascii="宋体" w:hAnsi="宋体"/>
        </w:rPr>
        <w:t xml:space="preserve"> 危险化学品管理</w:t>
      </w:r>
    </w:p>
    <w:tbl>
      <w:tblPr>
        <w:tblStyle w:val="32"/>
        <w:tblW w:w="94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08" w:type="dxa"/>
          <w:left w:w="108" w:type="dxa"/>
          <w:bottom w:w="108" w:type="dxa"/>
          <w:right w:w="108" w:type="dxa"/>
        </w:tblCellMar>
      </w:tblPr>
      <w:tblGrid>
        <w:gridCol w:w="923"/>
        <w:gridCol w:w="4419"/>
        <w:gridCol w:w="2538"/>
        <w:gridCol w:w="1540"/>
      </w:tblGrid>
      <w:tr w14:paraId="47208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567" w:hRule="atLeast"/>
          <w:jc w:val="center"/>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2011A">
            <w:pPr>
              <w:snapToGrid/>
              <w:spacing w:before="0" w:beforeLines="0" w:after="0" w:afterLines="0" w:line="240" w:lineRule="auto"/>
              <w:ind w:firstLine="0" w:firstLineChars="0"/>
              <w:contextualSpacing/>
              <w:jc w:val="center"/>
              <w:rPr>
                <w:rFonts w:hint="eastAsia" w:ascii="宋体" w:hAnsi="宋体"/>
                <w:b/>
                <w:bCs/>
              </w:rPr>
            </w:pPr>
            <w:r>
              <w:rPr>
                <w:rFonts w:hint="eastAsia" w:ascii="宋体" w:hAnsi="宋体"/>
                <w:b/>
                <w:bCs/>
              </w:rPr>
              <w:t>序号</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98080">
            <w:pPr>
              <w:snapToGrid/>
              <w:spacing w:before="0" w:beforeLines="0" w:after="0" w:afterLines="0" w:line="240" w:lineRule="auto"/>
              <w:ind w:firstLine="0" w:firstLineChars="0"/>
              <w:contextualSpacing/>
              <w:jc w:val="center"/>
              <w:rPr>
                <w:rFonts w:hint="eastAsia" w:ascii="宋体" w:hAnsi="宋体"/>
                <w:b/>
                <w:bCs/>
              </w:rPr>
            </w:pPr>
            <w:r>
              <w:rPr>
                <w:rFonts w:hint="eastAsia" w:ascii="宋体" w:hAnsi="宋体"/>
                <w:b/>
                <w:bCs/>
              </w:rPr>
              <w:t>违章内容</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4BDA8">
            <w:pPr>
              <w:snapToGrid/>
              <w:spacing w:before="0" w:beforeLines="0" w:after="0" w:afterLines="0" w:line="240" w:lineRule="auto"/>
              <w:ind w:firstLine="0" w:firstLineChars="0"/>
              <w:contextualSpacing/>
              <w:jc w:val="center"/>
              <w:rPr>
                <w:rFonts w:hint="eastAsia" w:ascii="宋体" w:hAnsi="宋体"/>
                <w:b/>
                <w:bCs/>
              </w:rPr>
            </w:pPr>
            <w:r>
              <w:rPr>
                <w:rFonts w:hint="eastAsia" w:ascii="宋体" w:hAnsi="宋体"/>
                <w:b/>
                <w:bCs/>
              </w:rPr>
              <w:t>罚款金额</w:t>
            </w: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B12CF">
            <w:pPr>
              <w:snapToGrid/>
              <w:spacing w:before="0" w:beforeLines="0" w:after="0" w:afterLines="0" w:line="240" w:lineRule="auto"/>
              <w:ind w:firstLine="0" w:firstLineChars="0"/>
              <w:contextualSpacing/>
              <w:jc w:val="center"/>
              <w:rPr>
                <w:rFonts w:hint="eastAsia" w:ascii="宋体" w:hAnsi="宋体"/>
                <w:b/>
                <w:bCs/>
              </w:rPr>
            </w:pPr>
            <w:r>
              <w:rPr>
                <w:rFonts w:hint="eastAsia" w:ascii="宋体" w:hAnsi="宋体"/>
                <w:b/>
                <w:bCs/>
              </w:rPr>
              <w:t>备注</w:t>
            </w:r>
          </w:p>
        </w:tc>
      </w:tr>
      <w:tr w14:paraId="5CC06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3C009">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HC01</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DC96">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未按合法途径采购合格危化品</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80616">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每处每次 2000元</w:t>
            </w: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B2E27">
            <w:pPr>
              <w:snapToGrid/>
              <w:spacing w:before="0" w:beforeLines="0" w:after="0" w:afterLines="0" w:line="240" w:lineRule="auto"/>
              <w:ind w:firstLine="420" w:firstLineChars="200"/>
              <w:contextualSpacing/>
              <w:jc w:val="center"/>
              <w:rPr>
                <w:rFonts w:hint="eastAsia" w:ascii="宋体" w:hAnsi="宋体"/>
              </w:rPr>
            </w:pPr>
          </w:p>
        </w:tc>
      </w:tr>
      <w:tr w14:paraId="3048F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E42BC">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HC02</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C1100">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未按规范规定堆放危险化学品</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63D42">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每处每次 1000元</w:t>
            </w: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4457">
            <w:pPr>
              <w:snapToGrid/>
              <w:spacing w:before="0" w:beforeLines="0" w:after="0" w:afterLines="0" w:line="240" w:lineRule="auto"/>
              <w:ind w:firstLine="420" w:firstLineChars="200"/>
              <w:contextualSpacing/>
              <w:jc w:val="center"/>
              <w:rPr>
                <w:rFonts w:hint="eastAsia" w:ascii="宋体" w:hAnsi="宋体"/>
              </w:rPr>
            </w:pPr>
          </w:p>
        </w:tc>
      </w:tr>
      <w:tr w14:paraId="169FB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3695">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HC03</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C69F3">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危险化学品包装无相应出厂货品信息</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452E4">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每处每次 500元</w:t>
            </w: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B417B">
            <w:pPr>
              <w:snapToGrid/>
              <w:spacing w:before="0" w:beforeLines="0" w:after="0" w:afterLines="0" w:line="240" w:lineRule="auto"/>
              <w:ind w:firstLine="420" w:firstLineChars="200"/>
              <w:contextualSpacing/>
              <w:jc w:val="center"/>
              <w:rPr>
                <w:rFonts w:hint="eastAsia" w:ascii="宋体" w:hAnsi="宋体"/>
              </w:rPr>
            </w:pPr>
          </w:p>
        </w:tc>
      </w:tr>
      <w:tr w14:paraId="62B20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340" w:hRule="atLeast"/>
          <w:jc w:val="center"/>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13026">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HC04</w:t>
            </w:r>
          </w:p>
        </w:tc>
        <w:tc>
          <w:tcPr>
            <w:tcW w:w="4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AC71B">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其他违反国家相关标准和项目管理规定</w:t>
            </w:r>
          </w:p>
        </w:tc>
        <w:tc>
          <w:tcPr>
            <w:tcW w:w="2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6FBD8">
            <w:pPr>
              <w:snapToGrid/>
              <w:spacing w:before="0" w:beforeLines="0" w:after="0" w:afterLines="0" w:line="240" w:lineRule="auto"/>
              <w:ind w:firstLine="0" w:firstLineChars="0"/>
              <w:contextualSpacing/>
              <w:jc w:val="center"/>
              <w:rPr>
                <w:rFonts w:hint="eastAsia" w:ascii="宋体" w:hAnsi="宋体"/>
              </w:rPr>
            </w:pPr>
            <w:r>
              <w:rPr>
                <w:rFonts w:hint="eastAsia" w:ascii="宋体" w:hAnsi="宋体"/>
              </w:rPr>
              <w:t>每处每次 200-20000元</w:t>
            </w: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83334">
            <w:pPr>
              <w:snapToGrid/>
              <w:spacing w:before="0" w:beforeLines="0" w:after="0" w:afterLines="0" w:line="240" w:lineRule="auto"/>
              <w:ind w:firstLine="420" w:firstLineChars="200"/>
              <w:contextualSpacing/>
              <w:jc w:val="center"/>
              <w:rPr>
                <w:rFonts w:hint="eastAsia" w:ascii="宋体" w:hAnsi="宋体"/>
              </w:rPr>
            </w:pPr>
          </w:p>
        </w:tc>
      </w:tr>
    </w:tbl>
    <w:p w14:paraId="68965508">
      <w:pPr>
        <w:snapToGrid/>
        <w:spacing w:before="181" w:beforeLines="50" w:after="0" w:afterLines="0" w:line="300" w:lineRule="auto"/>
        <w:ind w:firstLine="420" w:firstLineChars="200"/>
        <w:contextualSpacing/>
        <w:rPr>
          <w:rFonts w:hint="eastAsia" w:ascii="宋体" w:hAnsi="宋体"/>
        </w:rPr>
      </w:pPr>
      <w:r>
        <w:rPr>
          <w:rFonts w:hint="eastAsia" w:ascii="宋体" w:hAnsi="宋体"/>
        </w:rPr>
        <w:t>5. 重要说明</w:t>
      </w:r>
    </w:p>
    <w:p w14:paraId="25A4C24D">
      <w:pPr>
        <w:snapToGrid/>
        <w:spacing w:before="0" w:beforeLines="0" w:after="0" w:afterLines="0" w:line="300" w:lineRule="auto"/>
        <w:ind w:firstLine="420" w:firstLineChars="200"/>
        <w:contextualSpacing/>
        <w:rPr>
          <w:rFonts w:hint="eastAsia" w:ascii="宋体" w:hAnsi="宋体"/>
        </w:rPr>
      </w:pPr>
      <w:r>
        <w:rPr>
          <w:rFonts w:hint="eastAsia" w:ascii="宋体" w:hAnsi="宋体"/>
        </w:rPr>
        <w:t>5.1 以上罚款均为人民币；</w:t>
      </w:r>
    </w:p>
    <w:p w14:paraId="172764B6">
      <w:pPr>
        <w:snapToGrid/>
        <w:spacing w:before="0" w:beforeLines="0" w:after="0" w:afterLines="0" w:line="300" w:lineRule="auto"/>
        <w:ind w:firstLine="420" w:firstLineChars="200"/>
        <w:contextualSpacing/>
        <w:rPr>
          <w:rFonts w:hint="eastAsia" w:ascii="宋体" w:hAnsi="宋体"/>
        </w:rPr>
      </w:pPr>
      <w:r>
        <w:rPr>
          <w:rFonts w:hint="eastAsia" w:ascii="宋体" w:hAnsi="宋体"/>
        </w:rPr>
        <w:t>5.2 收到罚款单之日起</w:t>
      </w:r>
      <w:r>
        <w:rPr>
          <w:rFonts w:hint="eastAsia" w:ascii="宋体" w:hAnsi="宋体"/>
          <w:lang w:val="en-US" w:eastAsia="zh-CN"/>
        </w:rPr>
        <w:t>7</w:t>
      </w:r>
      <w:r>
        <w:rPr>
          <w:rFonts w:hint="eastAsia" w:ascii="宋体" w:hAnsi="宋体"/>
        </w:rPr>
        <w:t>个工作内上交罚款；</w:t>
      </w:r>
    </w:p>
    <w:p w14:paraId="2CB7D9E9">
      <w:pPr>
        <w:snapToGrid/>
        <w:spacing w:before="0" w:beforeLines="0" w:after="0" w:afterLines="0" w:line="300" w:lineRule="auto"/>
        <w:ind w:firstLine="420" w:firstLineChars="200"/>
        <w:contextualSpacing/>
        <w:rPr>
          <w:rFonts w:hint="eastAsia" w:ascii="宋体" w:hAnsi="宋体"/>
        </w:rPr>
      </w:pPr>
      <w:r>
        <w:rPr>
          <w:rFonts w:hint="eastAsia" w:ascii="宋体" w:hAnsi="宋体"/>
        </w:rPr>
        <w:t>5.3 拒不缴纳罚款的，按应罚款金额的10倍在</w:t>
      </w:r>
      <w:r>
        <w:rPr>
          <w:rFonts w:hint="eastAsia" w:ascii="宋体" w:hAnsi="宋体"/>
          <w:lang w:val="en-US" w:eastAsia="zh-CN"/>
        </w:rPr>
        <w:t>货</w:t>
      </w:r>
      <w:r>
        <w:rPr>
          <w:rFonts w:hint="eastAsia" w:ascii="宋体" w:hAnsi="宋体"/>
        </w:rPr>
        <w:t>款</w:t>
      </w:r>
      <w:r>
        <w:rPr>
          <w:rFonts w:hint="eastAsia" w:ascii="宋体" w:hAnsi="宋体"/>
          <w:lang w:eastAsia="zh-CN"/>
        </w:rPr>
        <w:t>、</w:t>
      </w:r>
      <w:r>
        <w:rPr>
          <w:rFonts w:hint="eastAsia" w:ascii="宋体" w:hAnsi="宋体"/>
          <w:lang w:val="en-US" w:eastAsia="zh-CN"/>
        </w:rPr>
        <w:t>履约保证金、质保金（如有）等款项</w:t>
      </w:r>
      <w:r>
        <w:rPr>
          <w:rFonts w:hint="eastAsia" w:ascii="宋体" w:hAnsi="宋体"/>
        </w:rPr>
        <w:t>中直接扣除；</w:t>
      </w:r>
    </w:p>
    <w:p w14:paraId="0885FE2C">
      <w:pPr>
        <w:snapToGrid/>
        <w:spacing w:before="0" w:beforeLines="0" w:after="0" w:afterLines="0" w:line="300" w:lineRule="auto"/>
        <w:ind w:firstLine="420" w:firstLineChars="200"/>
        <w:contextualSpacing/>
        <w:rPr>
          <w:rFonts w:hint="eastAsia" w:ascii="宋体" w:hAnsi="宋体"/>
        </w:rPr>
      </w:pPr>
      <w:r>
        <w:rPr>
          <w:rFonts w:hint="eastAsia" w:ascii="宋体" w:hAnsi="宋体"/>
        </w:rPr>
        <w:t>5.</w:t>
      </w:r>
      <w:r>
        <w:rPr>
          <w:rFonts w:hint="eastAsia" w:ascii="宋体" w:hAnsi="宋体"/>
          <w:lang w:val="en-US" w:eastAsia="zh-CN"/>
        </w:rPr>
        <w:t>4</w:t>
      </w:r>
      <w:r>
        <w:rPr>
          <w:rFonts w:hint="eastAsia" w:ascii="宋体" w:hAnsi="宋体"/>
        </w:rPr>
        <w:t xml:space="preserve"> 以上处罚标准按发现情况单次计算，不同违章违规行为累加处罚</w:t>
      </w:r>
      <w:r>
        <w:rPr>
          <w:rFonts w:hint="eastAsia" w:ascii="宋体" w:hAnsi="宋体"/>
          <w:lang w:eastAsia="zh-CN"/>
        </w:rPr>
        <w:t>；</w:t>
      </w:r>
    </w:p>
    <w:p w14:paraId="01D2334A">
      <w:pPr>
        <w:snapToGrid/>
        <w:spacing w:before="0" w:beforeLines="0" w:after="0" w:afterLines="0" w:line="300" w:lineRule="auto"/>
        <w:ind w:firstLine="420" w:firstLineChars="200"/>
        <w:contextualSpacing/>
        <w:rPr>
          <w:rFonts w:hint="eastAsia" w:ascii="宋体" w:hAnsi="宋体"/>
        </w:rPr>
      </w:pPr>
      <w:r>
        <w:rPr>
          <w:rFonts w:hint="eastAsia" w:ascii="宋体" w:hAnsi="宋体"/>
        </w:rPr>
        <w:t>5.</w:t>
      </w:r>
      <w:r>
        <w:rPr>
          <w:rFonts w:hint="eastAsia" w:ascii="宋体" w:hAnsi="宋体"/>
          <w:lang w:val="en-US" w:eastAsia="zh-CN"/>
        </w:rPr>
        <w:t>5</w:t>
      </w:r>
      <w:r>
        <w:rPr>
          <w:rFonts w:hint="eastAsia" w:ascii="宋体" w:hAnsi="宋体"/>
        </w:rPr>
        <w:t xml:space="preserve"> 凡违章违规行为均要受到处罚，在限期内整改完毕，拖延整改，拒不整改，甲方有权直接下停工令，并在原处罚的基础上加倍进行处罚，直至清出现场</w:t>
      </w:r>
      <w:r>
        <w:rPr>
          <w:rFonts w:hint="eastAsia" w:ascii="宋体" w:hAnsi="宋体"/>
          <w:lang w:eastAsia="zh-CN"/>
        </w:rPr>
        <w:t>；</w:t>
      </w:r>
    </w:p>
    <w:p w14:paraId="4ED8B1F8">
      <w:pPr>
        <w:snapToGrid/>
        <w:spacing w:before="0" w:beforeLines="0" w:after="0" w:afterLines="0" w:line="300" w:lineRule="auto"/>
        <w:ind w:firstLine="420" w:firstLineChars="200"/>
        <w:contextualSpacing/>
        <w:rPr>
          <w:rFonts w:hint="eastAsia" w:ascii="宋体" w:hAnsi="宋体"/>
        </w:rPr>
      </w:pPr>
      <w:r>
        <w:rPr>
          <w:rFonts w:hint="eastAsia" w:ascii="宋体" w:hAnsi="宋体"/>
        </w:rPr>
        <w:t>5.</w:t>
      </w:r>
      <w:r>
        <w:rPr>
          <w:rFonts w:hint="eastAsia" w:ascii="宋体" w:hAnsi="宋体"/>
          <w:lang w:val="en-US" w:eastAsia="zh-CN"/>
        </w:rPr>
        <w:t>6</w:t>
      </w:r>
      <w:r>
        <w:rPr>
          <w:rFonts w:hint="eastAsia" w:ascii="宋体" w:hAnsi="宋体"/>
        </w:rPr>
        <w:t xml:space="preserve"> 甲方保留对本细则的最终解释权。</w:t>
      </w:r>
    </w:p>
    <w:p w14:paraId="5D9D2444">
      <w:pPr>
        <w:spacing w:before="156" w:beforeLines="50" w:after="156" w:afterLines="50" w:line="360" w:lineRule="auto"/>
        <w:ind w:firstLine="420" w:firstLineChars="200"/>
        <w:contextualSpacing/>
        <w:rPr>
          <w:rFonts w:hint="eastAsia" w:ascii="宋体" w:hAnsi="宋体"/>
        </w:rPr>
      </w:pPr>
      <w:r>
        <w:rPr>
          <w:rFonts w:hint="eastAsia" w:ascii="宋体" w:hAnsi="宋体"/>
        </w:rPr>
        <w:br w:type="page"/>
      </w:r>
    </w:p>
    <w:p w14:paraId="17B93BA9">
      <w:pPr>
        <w:spacing w:before="156" w:beforeLines="50" w:after="156" w:afterLines="50" w:line="360" w:lineRule="auto"/>
        <w:ind w:firstLine="422" w:firstLineChars="200"/>
        <w:contextualSpacing/>
        <w:rPr>
          <w:rFonts w:hint="eastAsia" w:ascii="宋体" w:hAnsi="宋体"/>
          <w:b/>
          <w:bCs/>
          <w:lang w:val="en-US" w:eastAsia="zh-CN"/>
        </w:rPr>
      </w:pPr>
      <w:r>
        <w:rPr>
          <w:rFonts w:hint="eastAsia" w:ascii="宋体" w:hAnsi="宋体"/>
          <w:b/>
          <w:bCs/>
          <w:lang w:val="en-US" w:eastAsia="zh-CN"/>
        </w:rPr>
        <w:t>安全管理协议书（附件2）：</w:t>
      </w:r>
    </w:p>
    <w:p w14:paraId="6ED48827">
      <w:pPr>
        <w:tabs>
          <w:tab w:val="left" w:pos="3646"/>
        </w:tabs>
        <w:snapToGrid/>
        <w:spacing w:before="0" w:beforeLines="0" w:after="0" w:afterLines="0" w:line="300" w:lineRule="auto"/>
        <w:ind w:firstLine="420" w:firstLineChars="200"/>
        <w:contextualSpacing/>
        <w:rPr>
          <w:rFonts w:hint="eastAsia" w:ascii="宋体" w:hAnsi="宋体" w:eastAsiaTheme="minorEastAsia"/>
          <w:lang w:eastAsia="zh-CN"/>
        </w:rPr>
      </w:pPr>
      <w:r>
        <w:rPr>
          <w:rFonts w:hint="eastAsia" w:ascii="宋体" w:hAnsi="宋体"/>
        </w:rPr>
        <w:t>事故处罚实施细则</w:t>
      </w:r>
    </w:p>
    <w:p w14:paraId="6F3152DD">
      <w:pPr>
        <w:snapToGrid/>
        <w:spacing w:before="0" w:beforeLines="0" w:after="0" w:afterLines="0" w:line="300" w:lineRule="auto"/>
        <w:ind w:firstLine="420" w:firstLineChars="200"/>
        <w:contextualSpacing/>
        <w:rPr>
          <w:rFonts w:hint="eastAsia" w:ascii="宋体" w:hAnsi="宋体"/>
        </w:rPr>
      </w:pPr>
      <w:r>
        <w:rPr>
          <w:rFonts w:hint="eastAsia" w:ascii="宋体" w:hAnsi="宋体"/>
        </w:rPr>
        <w:t>1. 范围</w:t>
      </w:r>
    </w:p>
    <w:p w14:paraId="762E50C3">
      <w:pPr>
        <w:snapToGrid/>
        <w:spacing w:before="0" w:beforeLines="0" w:after="0" w:afterLines="0" w:line="300" w:lineRule="auto"/>
        <w:ind w:firstLine="420" w:firstLineChars="200"/>
        <w:contextualSpacing/>
        <w:rPr>
          <w:rFonts w:hint="eastAsia" w:ascii="宋体" w:hAnsi="宋体"/>
        </w:rPr>
      </w:pPr>
      <w:r>
        <w:rPr>
          <w:rFonts w:hint="eastAsia" w:ascii="宋体" w:hAnsi="宋体"/>
        </w:rPr>
        <w:t>1.1 本细则明确了甲方所有工程项目各类事故管理标准、管理内容、要求与方法。</w:t>
      </w:r>
    </w:p>
    <w:p w14:paraId="367BC31A">
      <w:pPr>
        <w:snapToGrid/>
        <w:spacing w:before="0" w:beforeLines="0" w:after="0" w:afterLines="0" w:line="300" w:lineRule="auto"/>
        <w:ind w:firstLine="420" w:firstLineChars="200"/>
        <w:contextualSpacing/>
        <w:rPr>
          <w:rFonts w:hint="eastAsia" w:ascii="宋体" w:hAnsi="宋体"/>
        </w:rPr>
      </w:pPr>
      <w:r>
        <w:rPr>
          <w:rFonts w:hint="eastAsia" w:ascii="宋体" w:hAnsi="宋体"/>
        </w:rPr>
        <w:t>1.2 本规定适用于甲方所有标段的项目。</w:t>
      </w:r>
    </w:p>
    <w:p w14:paraId="72012F1C">
      <w:pPr>
        <w:snapToGrid/>
        <w:spacing w:before="0" w:beforeLines="0" w:after="0" w:afterLines="0" w:line="300" w:lineRule="auto"/>
        <w:ind w:firstLine="420" w:firstLineChars="200"/>
        <w:contextualSpacing/>
        <w:rPr>
          <w:rFonts w:hint="eastAsia" w:ascii="宋体" w:hAnsi="宋体"/>
        </w:rPr>
      </w:pPr>
      <w:r>
        <w:rPr>
          <w:rFonts w:hint="eastAsia" w:ascii="宋体" w:hAnsi="宋体"/>
        </w:rPr>
        <w:t>2. 职责</w:t>
      </w:r>
    </w:p>
    <w:p w14:paraId="7EF9CDDC">
      <w:pPr>
        <w:snapToGrid/>
        <w:spacing w:before="0" w:beforeLines="0" w:after="0" w:afterLines="0" w:line="300" w:lineRule="auto"/>
        <w:ind w:firstLine="420" w:firstLineChars="200"/>
        <w:contextualSpacing/>
        <w:rPr>
          <w:rFonts w:hint="eastAsia" w:ascii="宋体" w:hAnsi="宋体"/>
        </w:rPr>
      </w:pPr>
      <w:r>
        <w:rPr>
          <w:rFonts w:hint="eastAsia" w:ascii="宋体" w:hAnsi="宋体"/>
        </w:rPr>
        <w:t>2.1 甲方</w:t>
      </w:r>
      <w:r>
        <w:rPr>
          <w:rFonts w:hint="eastAsia" w:ascii="宋体" w:hAnsi="宋体"/>
          <w:lang w:val="en-US" w:eastAsia="zh-CN"/>
        </w:rPr>
        <w:t>安环等</w:t>
      </w:r>
      <w:r>
        <w:rPr>
          <w:rFonts w:hint="eastAsia" w:ascii="宋体" w:hAnsi="宋体"/>
        </w:rPr>
        <w:t>相关部门有关人员对事故单位按本细则标准执行处罚。处罚对象为乙方。</w:t>
      </w:r>
    </w:p>
    <w:p w14:paraId="34C590BF">
      <w:pPr>
        <w:snapToGrid/>
        <w:spacing w:before="0" w:beforeLines="0" w:after="0" w:afterLines="0" w:line="300" w:lineRule="auto"/>
        <w:ind w:firstLine="420" w:firstLineChars="200"/>
        <w:contextualSpacing/>
        <w:rPr>
          <w:rFonts w:hint="eastAsia" w:ascii="宋体" w:hAnsi="宋体"/>
        </w:rPr>
      </w:pPr>
      <w:r>
        <w:rPr>
          <w:rFonts w:hint="eastAsia" w:ascii="宋体" w:hAnsi="宋体"/>
        </w:rPr>
        <w:t>3. 内容</w:t>
      </w:r>
    </w:p>
    <w:p w14:paraId="493FFC0D">
      <w:pPr>
        <w:snapToGrid/>
        <w:spacing w:before="0" w:beforeLines="0" w:after="0" w:afterLines="0" w:line="300" w:lineRule="auto"/>
        <w:ind w:firstLine="420" w:firstLineChars="200"/>
        <w:contextualSpacing/>
        <w:rPr>
          <w:rFonts w:hint="eastAsia" w:ascii="宋体" w:hAnsi="宋体"/>
        </w:rPr>
      </w:pPr>
      <w:r>
        <w:rPr>
          <w:rFonts w:hint="eastAsia" w:ascii="宋体" w:hAnsi="宋体"/>
        </w:rPr>
        <w:t>3.1 未遂事故（有险情，但未造成人员伤害、设备损害，含重物高处坠物。）</w:t>
      </w:r>
    </w:p>
    <w:p w14:paraId="09D9B059">
      <w:pPr>
        <w:snapToGrid/>
        <w:spacing w:before="0" w:beforeLines="0" w:after="0" w:afterLines="0" w:line="300" w:lineRule="auto"/>
        <w:ind w:firstLine="420" w:firstLineChars="200"/>
        <w:contextualSpacing/>
        <w:rPr>
          <w:rFonts w:hint="eastAsia" w:ascii="宋体" w:hAnsi="宋体"/>
        </w:rPr>
      </w:pPr>
      <w:r>
        <w:rPr>
          <w:rFonts w:hint="eastAsia" w:ascii="宋体" w:hAnsi="宋体"/>
        </w:rPr>
        <w:t>每次罚乙方三千元，通报批评。</w:t>
      </w:r>
    </w:p>
    <w:p w14:paraId="576E1204">
      <w:pPr>
        <w:snapToGrid/>
        <w:spacing w:before="0" w:beforeLines="0" w:after="0" w:afterLines="0" w:line="300" w:lineRule="auto"/>
        <w:ind w:firstLine="420" w:firstLineChars="200"/>
        <w:contextualSpacing/>
        <w:rPr>
          <w:rFonts w:hint="eastAsia" w:ascii="宋体" w:hAnsi="宋体"/>
        </w:rPr>
      </w:pPr>
      <w:r>
        <w:rPr>
          <w:rFonts w:hint="eastAsia" w:ascii="宋体" w:hAnsi="宋体"/>
        </w:rPr>
        <w:t>3.2 记录事故（人员轻微伤害不构成轻伤，设备未造成永久性损坏，可以修复。）</w:t>
      </w:r>
    </w:p>
    <w:p w14:paraId="70455E49">
      <w:pPr>
        <w:snapToGrid/>
        <w:spacing w:before="0" w:beforeLines="0" w:after="0" w:afterLines="0" w:line="300" w:lineRule="auto"/>
        <w:ind w:firstLine="420" w:firstLineChars="200"/>
        <w:contextualSpacing/>
        <w:rPr>
          <w:rFonts w:hint="eastAsia" w:ascii="宋体" w:hAnsi="宋体"/>
        </w:rPr>
      </w:pPr>
      <w:r>
        <w:rPr>
          <w:rFonts w:hint="eastAsia" w:ascii="宋体" w:hAnsi="宋体"/>
        </w:rPr>
        <w:t>每次罚乙方五千元，通报批评。</w:t>
      </w:r>
    </w:p>
    <w:p w14:paraId="757F9D1C">
      <w:pPr>
        <w:snapToGrid/>
        <w:spacing w:before="0" w:beforeLines="0" w:after="0" w:afterLines="0" w:line="300" w:lineRule="auto"/>
        <w:ind w:firstLine="420" w:firstLineChars="200"/>
        <w:contextualSpacing/>
        <w:rPr>
          <w:rFonts w:hint="eastAsia" w:ascii="宋体" w:hAnsi="宋体"/>
        </w:rPr>
      </w:pPr>
      <w:r>
        <w:rPr>
          <w:rFonts w:hint="eastAsia" w:ascii="宋体" w:hAnsi="宋体"/>
        </w:rPr>
        <w:t>3.3 轻伤事故（国家有关规定鉴定）</w:t>
      </w:r>
    </w:p>
    <w:p w14:paraId="6A86C0A8">
      <w:pPr>
        <w:snapToGrid/>
        <w:spacing w:before="0" w:beforeLines="0" w:after="0" w:afterLines="0" w:line="300" w:lineRule="auto"/>
        <w:ind w:firstLine="420" w:firstLineChars="200"/>
        <w:contextualSpacing/>
        <w:rPr>
          <w:rFonts w:hint="eastAsia" w:ascii="宋体" w:hAnsi="宋体"/>
        </w:rPr>
      </w:pPr>
      <w:r>
        <w:rPr>
          <w:rFonts w:hint="eastAsia" w:ascii="宋体" w:hAnsi="宋体"/>
        </w:rPr>
        <w:t>发生一人次轻伤事故，罚乙方一万元，通报批评。一次事故多人轻伤，按每人次五千元累计相加达三万元终止。</w:t>
      </w:r>
    </w:p>
    <w:p w14:paraId="635B31BB">
      <w:pPr>
        <w:snapToGrid/>
        <w:spacing w:before="0" w:beforeLines="0" w:after="0" w:afterLines="0" w:line="300" w:lineRule="auto"/>
        <w:ind w:firstLine="420" w:firstLineChars="200"/>
        <w:contextualSpacing/>
        <w:rPr>
          <w:rFonts w:hint="eastAsia" w:ascii="宋体" w:hAnsi="宋体"/>
        </w:rPr>
      </w:pPr>
      <w:r>
        <w:rPr>
          <w:rFonts w:hint="eastAsia" w:ascii="宋体" w:hAnsi="宋体"/>
        </w:rPr>
        <w:t>3.</w:t>
      </w:r>
      <w:r>
        <w:rPr>
          <w:rFonts w:hint="eastAsia" w:ascii="宋体" w:hAnsi="宋体"/>
          <w:lang w:val="en-US" w:eastAsia="zh-CN"/>
        </w:rPr>
        <w:t>4</w:t>
      </w:r>
      <w:r>
        <w:rPr>
          <w:rFonts w:hint="eastAsia" w:ascii="宋体" w:hAnsi="宋体"/>
        </w:rPr>
        <w:t xml:space="preserve"> 重伤事故</w:t>
      </w:r>
    </w:p>
    <w:p w14:paraId="70534215">
      <w:pPr>
        <w:snapToGrid/>
        <w:spacing w:before="0" w:beforeLines="0" w:after="0" w:afterLines="0" w:line="300" w:lineRule="auto"/>
        <w:ind w:firstLine="420" w:firstLineChars="200"/>
        <w:contextualSpacing/>
        <w:rPr>
          <w:rFonts w:hint="eastAsia" w:ascii="宋体" w:hAnsi="宋体"/>
        </w:rPr>
      </w:pPr>
      <w:r>
        <w:rPr>
          <w:rFonts w:hint="eastAsia" w:ascii="宋体" w:hAnsi="宋体"/>
        </w:rPr>
        <w:t>发生一人次重伤事故，最低罚乙方三万元，通报批评。</w:t>
      </w:r>
    </w:p>
    <w:p w14:paraId="0D0F6944">
      <w:pPr>
        <w:snapToGrid/>
        <w:spacing w:before="0" w:beforeLines="0" w:after="0" w:afterLines="0" w:line="300" w:lineRule="auto"/>
        <w:ind w:firstLine="420" w:firstLineChars="200"/>
        <w:contextualSpacing/>
        <w:rPr>
          <w:rFonts w:hint="eastAsia" w:ascii="宋体" w:hAnsi="宋体"/>
        </w:rPr>
      </w:pPr>
      <w:r>
        <w:rPr>
          <w:rFonts w:hint="eastAsia" w:ascii="宋体" w:hAnsi="宋体"/>
        </w:rPr>
        <w:t>3.</w:t>
      </w:r>
      <w:r>
        <w:rPr>
          <w:rFonts w:hint="eastAsia" w:ascii="宋体" w:hAnsi="宋体"/>
          <w:lang w:val="en-US" w:eastAsia="zh-CN"/>
        </w:rPr>
        <w:t>5</w:t>
      </w:r>
      <w:r>
        <w:rPr>
          <w:rFonts w:hint="eastAsia" w:ascii="宋体" w:hAnsi="宋体"/>
        </w:rPr>
        <w:t xml:space="preserve"> 死亡事故</w:t>
      </w:r>
    </w:p>
    <w:p w14:paraId="1BF43F25">
      <w:pPr>
        <w:snapToGrid/>
        <w:spacing w:before="0" w:beforeLines="0" w:after="0" w:afterLines="0" w:line="300" w:lineRule="auto"/>
        <w:ind w:firstLine="420" w:firstLineChars="200"/>
        <w:contextualSpacing/>
        <w:rPr>
          <w:rFonts w:hint="eastAsia" w:ascii="宋体" w:hAnsi="宋体"/>
        </w:rPr>
      </w:pPr>
      <w:r>
        <w:rPr>
          <w:rFonts w:hint="eastAsia" w:ascii="宋体" w:hAnsi="宋体"/>
        </w:rPr>
        <w:t>3.</w:t>
      </w:r>
      <w:r>
        <w:rPr>
          <w:rFonts w:hint="eastAsia" w:ascii="宋体" w:hAnsi="宋体"/>
          <w:lang w:val="en-US" w:eastAsia="zh-CN"/>
        </w:rPr>
        <w:t>5</w:t>
      </w:r>
      <w:r>
        <w:rPr>
          <w:rFonts w:hint="eastAsia" w:ascii="宋体" w:hAnsi="宋体"/>
        </w:rPr>
        <w:t>.1 发生一人次死亡事故罚乙方十万元，通报批评，停工整顿。</w:t>
      </w:r>
    </w:p>
    <w:p w14:paraId="4F1CED53">
      <w:pPr>
        <w:snapToGrid/>
        <w:spacing w:before="0" w:beforeLines="0" w:after="0" w:afterLines="0" w:line="300" w:lineRule="auto"/>
        <w:ind w:firstLine="420" w:firstLineChars="200"/>
        <w:contextualSpacing/>
        <w:rPr>
          <w:rFonts w:hint="eastAsia" w:ascii="宋体" w:hAnsi="宋体"/>
        </w:rPr>
      </w:pPr>
      <w:r>
        <w:rPr>
          <w:rFonts w:hint="eastAsia" w:ascii="宋体" w:hAnsi="宋体"/>
        </w:rPr>
        <w:t>3.</w:t>
      </w:r>
      <w:r>
        <w:rPr>
          <w:rFonts w:hint="eastAsia" w:ascii="宋体" w:hAnsi="宋体"/>
          <w:lang w:val="en-US" w:eastAsia="zh-CN"/>
        </w:rPr>
        <w:t>6</w:t>
      </w:r>
      <w:r>
        <w:rPr>
          <w:rFonts w:hint="eastAsia" w:ascii="宋体" w:hAnsi="宋体"/>
        </w:rPr>
        <w:t xml:space="preserve"> 机械设备人员重伤以上事故（按机械设备事故损失金额标准确认）最低罚款五万元，通报批评。</w:t>
      </w:r>
    </w:p>
    <w:p w14:paraId="6F7C9062">
      <w:pPr>
        <w:snapToGrid/>
        <w:spacing w:before="0" w:beforeLines="0" w:after="0" w:afterLines="0" w:line="300" w:lineRule="auto"/>
        <w:ind w:firstLine="420" w:firstLineChars="200"/>
        <w:contextualSpacing/>
        <w:rPr>
          <w:rFonts w:hint="eastAsia" w:ascii="宋体" w:hAnsi="宋体"/>
        </w:rPr>
      </w:pPr>
      <w:r>
        <w:rPr>
          <w:rFonts w:hint="eastAsia" w:ascii="宋体" w:hAnsi="宋体"/>
        </w:rPr>
        <w:t>3.</w:t>
      </w:r>
      <w:r>
        <w:rPr>
          <w:rFonts w:hint="eastAsia" w:ascii="宋体" w:hAnsi="宋体"/>
          <w:lang w:val="en-US" w:eastAsia="zh-CN"/>
        </w:rPr>
        <w:t>7</w:t>
      </w:r>
      <w:r>
        <w:rPr>
          <w:rFonts w:hint="eastAsia" w:ascii="宋体" w:hAnsi="宋体"/>
        </w:rPr>
        <w:t xml:space="preserve"> 火灾事故（按有关火灾损失金额标准确定）最低罚款五万元</w:t>
      </w:r>
      <w:r>
        <w:rPr>
          <w:rFonts w:hint="eastAsia" w:ascii="宋体" w:hAnsi="宋体"/>
          <w:lang w:eastAsia="zh-CN"/>
        </w:rPr>
        <w:t>，</w:t>
      </w:r>
      <w:r>
        <w:rPr>
          <w:rFonts w:hint="eastAsia" w:ascii="宋体" w:hAnsi="宋体"/>
        </w:rPr>
        <w:t>通报批评。</w:t>
      </w:r>
    </w:p>
    <w:p w14:paraId="12C9D815">
      <w:pPr>
        <w:snapToGrid/>
        <w:spacing w:before="0" w:beforeLines="0" w:after="0" w:afterLines="0" w:line="300" w:lineRule="auto"/>
        <w:ind w:firstLine="420" w:firstLineChars="200"/>
        <w:contextualSpacing/>
        <w:rPr>
          <w:rFonts w:hint="eastAsia" w:ascii="宋体" w:hAnsi="宋体"/>
        </w:rPr>
      </w:pPr>
      <w:r>
        <w:rPr>
          <w:rFonts w:hint="eastAsia" w:ascii="宋体" w:hAnsi="宋体"/>
        </w:rPr>
        <w:t>3.</w:t>
      </w:r>
      <w:r>
        <w:rPr>
          <w:rFonts w:hint="eastAsia" w:ascii="宋体" w:hAnsi="宋体"/>
          <w:lang w:val="en-US" w:eastAsia="zh-CN"/>
        </w:rPr>
        <w:t xml:space="preserve">8 </w:t>
      </w:r>
      <w:r>
        <w:rPr>
          <w:rFonts w:hint="eastAsia" w:ascii="宋体" w:hAnsi="宋体"/>
        </w:rPr>
        <w:t>人员重伤以上交通事故（以交通管理部门责任认定书为据）最低罚款五万元，通报批评。</w:t>
      </w:r>
    </w:p>
    <w:p w14:paraId="052D58A2">
      <w:pPr>
        <w:snapToGrid/>
        <w:spacing w:before="0" w:beforeLines="0" w:after="0" w:afterLines="0" w:line="300" w:lineRule="auto"/>
        <w:ind w:firstLine="420" w:firstLineChars="200"/>
        <w:contextualSpacing/>
        <w:rPr>
          <w:rFonts w:hint="eastAsia" w:ascii="宋体" w:hAnsi="宋体"/>
        </w:rPr>
      </w:pPr>
      <w:r>
        <w:rPr>
          <w:rFonts w:hint="eastAsia" w:ascii="宋体" w:hAnsi="宋体"/>
        </w:rPr>
        <w:t>3.</w:t>
      </w:r>
      <w:r>
        <w:rPr>
          <w:rFonts w:hint="eastAsia" w:ascii="宋体" w:hAnsi="宋体"/>
          <w:lang w:val="en-US" w:eastAsia="zh-CN"/>
        </w:rPr>
        <w:t>9</w:t>
      </w:r>
      <w:r>
        <w:rPr>
          <w:rFonts w:hint="eastAsia" w:ascii="宋体" w:hAnsi="宋体"/>
        </w:rPr>
        <w:t xml:space="preserve"> 发生射线职业卫生伤害事故，大范围中暑、食物中毒、建筑物坍塌，受考核的环境污染事故。罚款五万元，上报政府机关，停工整顿，触犯刑律的由公安机关处置。</w:t>
      </w:r>
    </w:p>
    <w:p w14:paraId="5D0D3AAC">
      <w:pPr>
        <w:snapToGrid/>
        <w:spacing w:before="0" w:beforeLines="0" w:after="0" w:afterLines="0" w:line="300" w:lineRule="auto"/>
        <w:ind w:firstLine="420" w:firstLineChars="200"/>
        <w:contextualSpacing/>
        <w:rPr>
          <w:rFonts w:hint="eastAsia" w:ascii="宋体" w:hAnsi="宋体"/>
        </w:rPr>
      </w:pPr>
      <w:r>
        <w:rPr>
          <w:rFonts w:hint="eastAsia" w:ascii="宋体" w:hAnsi="宋体"/>
        </w:rPr>
        <w:t>3.</w:t>
      </w:r>
      <w:r>
        <w:rPr>
          <w:rFonts w:hint="eastAsia" w:ascii="宋体" w:hAnsi="宋体"/>
          <w:lang w:val="en-US" w:eastAsia="zh-CN"/>
        </w:rPr>
        <w:t xml:space="preserve">10 </w:t>
      </w:r>
      <w:r>
        <w:rPr>
          <w:rFonts w:hint="eastAsia" w:ascii="宋体" w:hAnsi="宋体"/>
        </w:rPr>
        <w:t>乙方轻伤负伤率超过3‰，处罚五万元。</w:t>
      </w:r>
    </w:p>
    <w:p w14:paraId="6858FF7E">
      <w:pPr>
        <w:snapToGrid/>
        <w:spacing w:before="0" w:beforeLines="0" w:after="0" w:afterLines="0" w:line="300" w:lineRule="auto"/>
        <w:ind w:firstLine="420" w:firstLineChars="200"/>
        <w:contextualSpacing/>
        <w:rPr>
          <w:rFonts w:hint="eastAsia" w:ascii="宋体" w:hAnsi="宋体"/>
        </w:rPr>
      </w:pPr>
      <w:r>
        <w:rPr>
          <w:rFonts w:hint="eastAsia" w:ascii="宋体" w:hAnsi="宋体"/>
        </w:rPr>
        <w:t>3.</w:t>
      </w:r>
      <w:r>
        <w:rPr>
          <w:rFonts w:hint="eastAsia" w:ascii="宋体" w:hAnsi="宋体"/>
          <w:lang w:val="en-US" w:eastAsia="zh-CN"/>
        </w:rPr>
        <w:t>11</w:t>
      </w:r>
      <w:r>
        <w:rPr>
          <w:rFonts w:hint="eastAsia" w:ascii="宋体" w:hAnsi="宋体"/>
        </w:rPr>
        <w:t xml:space="preserve"> 乙方故意瞒报、迟报、谎报发生的各类事故，处以发生事故类型罚款的2到5倍罚款，一切随之发生的法律责任由</w:t>
      </w:r>
      <w:r>
        <w:rPr>
          <w:rFonts w:hint="eastAsia" w:ascii="宋体" w:hAnsi="宋体"/>
          <w:lang w:val="en-US" w:eastAsia="zh-CN"/>
        </w:rPr>
        <w:t>乙方</w:t>
      </w:r>
      <w:r>
        <w:rPr>
          <w:rFonts w:hint="eastAsia" w:ascii="宋体" w:hAnsi="宋体"/>
        </w:rPr>
        <w:t>负责，并赔偿由此给甲方带来的一切损失。</w:t>
      </w:r>
    </w:p>
    <w:p w14:paraId="35FD72DF">
      <w:pPr>
        <w:snapToGrid/>
        <w:spacing w:before="0" w:beforeLines="0" w:after="0" w:afterLines="0" w:line="300" w:lineRule="auto"/>
        <w:ind w:firstLine="420" w:firstLineChars="200"/>
        <w:contextualSpacing/>
        <w:rPr>
          <w:rFonts w:hint="eastAsia" w:ascii="宋体" w:hAnsi="宋体"/>
        </w:rPr>
      </w:pPr>
      <w:r>
        <w:rPr>
          <w:rFonts w:hint="eastAsia" w:ascii="宋体" w:hAnsi="宋体"/>
        </w:rPr>
        <w:t>3.1</w:t>
      </w:r>
      <w:r>
        <w:rPr>
          <w:rFonts w:hint="eastAsia" w:ascii="宋体" w:hAnsi="宋体"/>
          <w:lang w:val="en-US" w:eastAsia="zh-CN"/>
        </w:rPr>
        <w:t>2</w:t>
      </w:r>
      <w:r>
        <w:rPr>
          <w:rFonts w:hint="eastAsia" w:ascii="宋体" w:hAnsi="宋体"/>
        </w:rPr>
        <w:t xml:space="preserve"> 在政府、行业及相关行政管理、执法机构的检查中由于</w:t>
      </w:r>
      <w:r>
        <w:rPr>
          <w:rFonts w:hint="eastAsia" w:ascii="宋体" w:hAnsi="宋体"/>
          <w:lang w:val="en-US" w:eastAsia="zh-CN"/>
        </w:rPr>
        <w:t>乙方</w:t>
      </w:r>
      <w:r>
        <w:rPr>
          <w:rFonts w:hint="eastAsia" w:ascii="宋体" w:hAnsi="宋体"/>
        </w:rPr>
        <w:t>原因、过错所产生的一切法律、经济处罚皆由乙方负责，并赔偿由此带给甲方的损失。</w:t>
      </w:r>
    </w:p>
    <w:p w14:paraId="29D3758B">
      <w:pPr>
        <w:snapToGrid/>
        <w:spacing w:before="0" w:beforeLines="0" w:after="0" w:afterLines="0" w:line="300" w:lineRule="auto"/>
        <w:ind w:firstLine="420" w:firstLineChars="200"/>
        <w:contextualSpacing/>
        <w:rPr>
          <w:rFonts w:hint="eastAsia" w:ascii="宋体" w:hAnsi="宋体"/>
        </w:rPr>
      </w:pPr>
      <w:r>
        <w:rPr>
          <w:rFonts w:hint="eastAsia" w:ascii="宋体" w:hAnsi="宋体"/>
        </w:rPr>
        <w:t>3.1</w:t>
      </w:r>
      <w:r>
        <w:rPr>
          <w:rFonts w:hint="eastAsia" w:ascii="宋体" w:hAnsi="宋体"/>
          <w:lang w:val="en-US" w:eastAsia="zh-CN"/>
        </w:rPr>
        <w:t xml:space="preserve">3 </w:t>
      </w:r>
      <w:r>
        <w:rPr>
          <w:rFonts w:hint="eastAsia" w:ascii="宋体" w:hAnsi="宋体"/>
        </w:rPr>
        <w:t>乙方人员偷盗物品（物品本身加上附加价值计算）除赔偿该物品外，并处以物品价值的20%—50%。当事人移交公安机关处理。</w:t>
      </w:r>
    </w:p>
    <w:p w14:paraId="30E74420">
      <w:pPr>
        <w:snapToGrid/>
        <w:spacing w:before="0" w:beforeLines="0" w:after="0" w:afterLines="0" w:line="300" w:lineRule="auto"/>
        <w:ind w:firstLine="420" w:firstLineChars="200"/>
        <w:contextualSpacing/>
        <w:rPr>
          <w:rFonts w:hint="eastAsia" w:ascii="宋体" w:hAnsi="宋体"/>
        </w:rPr>
      </w:pPr>
      <w:r>
        <w:rPr>
          <w:rFonts w:hint="eastAsia" w:ascii="宋体" w:hAnsi="宋体"/>
        </w:rPr>
        <w:t>3.1</w:t>
      </w:r>
      <w:r>
        <w:rPr>
          <w:rFonts w:hint="eastAsia" w:ascii="宋体" w:hAnsi="宋体"/>
          <w:lang w:val="en-US" w:eastAsia="zh-CN"/>
        </w:rPr>
        <w:t xml:space="preserve">4 </w:t>
      </w:r>
      <w:r>
        <w:rPr>
          <w:rFonts w:hint="eastAsia" w:ascii="宋体" w:hAnsi="宋体"/>
        </w:rPr>
        <w:t>乙方丢失、损坏本公司委托</w:t>
      </w:r>
      <w:r>
        <w:rPr>
          <w:rFonts w:hint="eastAsia" w:ascii="宋体" w:hAnsi="宋体"/>
          <w:lang w:val="en-US" w:eastAsia="zh-CN"/>
        </w:rPr>
        <w:t>乙方</w:t>
      </w:r>
      <w:r>
        <w:rPr>
          <w:rFonts w:hint="eastAsia" w:ascii="宋体" w:hAnsi="宋体"/>
        </w:rPr>
        <w:t>保管的物品，除赔偿该物品外并承担由此造成的直接损失。</w:t>
      </w:r>
    </w:p>
    <w:p w14:paraId="2F8148CB">
      <w:pPr>
        <w:snapToGrid/>
        <w:spacing w:before="0" w:beforeLines="0" w:after="0" w:afterLines="0" w:line="300" w:lineRule="auto"/>
        <w:ind w:firstLine="420" w:firstLineChars="200"/>
        <w:contextualSpacing/>
        <w:rPr>
          <w:rFonts w:hint="eastAsia" w:ascii="宋体" w:hAnsi="宋体"/>
        </w:rPr>
      </w:pPr>
      <w:r>
        <w:rPr>
          <w:rFonts w:hint="eastAsia" w:ascii="宋体" w:hAnsi="宋体"/>
        </w:rPr>
        <w:t>3.1</w:t>
      </w:r>
      <w:r>
        <w:rPr>
          <w:rFonts w:hint="eastAsia" w:ascii="宋体" w:hAnsi="宋体"/>
          <w:lang w:val="en-US" w:eastAsia="zh-CN"/>
        </w:rPr>
        <w:t>5</w:t>
      </w:r>
      <w:r>
        <w:rPr>
          <w:rFonts w:hint="eastAsia" w:ascii="宋体" w:hAnsi="宋体"/>
        </w:rPr>
        <w:t xml:space="preserve"> 由乙方及其人员原因造成群体性事件的，每次罚款5万元，乙方负责赔偿所造成的损失，当事人移交公安机关处理，甲方保留继续追究责任的权利。</w:t>
      </w:r>
    </w:p>
    <w:p w14:paraId="62EAC8B0">
      <w:pPr>
        <w:snapToGrid/>
        <w:spacing w:before="0" w:beforeLines="0" w:after="0" w:afterLines="0" w:line="300" w:lineRule="auto"/>
        <w:ind w:firstLine="420" w:firstLineChars="200"/>
        <w:contextualSpacing/>
        <w:rPr>
          <w:rFonts w:hint="eastAsia" w:ascii="宋体" w:hAnsi="宋体"/>
        </w:rPr>
      </w:pPr>
      <w:r>
        <w:rPr>
          <w:rFonts w:hint="eastAsia" w:ascii="宋体" w:hAnsi="宋体"/>
        </w:rPr>
        <w:t>4</w:t>
      </w:r>
      <w:r>
        <w:rPr>
          <w:rFonts w:hint="eastAsia" w:ascii="宋体" w:hAnsi="宋体"/>
          <w:lang w:val="en-US" w:eastAsia="zh-CN"/>
        </w:rPr>
        <w:t xml:space="preserve">. </w:t>
      </w:r>
      <w:r>
        <w:rPr>
          <w:rFonts w:hint="eastAsia" w:ascii="宋体" w:hAnsi="宋体"/>
        </w:rPr>
        <w:t>甲方保留对本细则的最终解释权。</w:t>
      </w:r>
    </w:p>
    <w:p w14:paraId="1309E753">
      <w:pPr>
        <w:rPr>
          <w:rFonts w:hint="eastAsia"/>
          <w:color w:val="auto"/>
          <w:sz w:val="28"/>
          <w:szCs w:val="28"/>
          <w:highlight w:val="none"/>
        </w:rPr>
      </w:pPr>
      <w:r>
        <w:rPr>
          <w:rFonts w:hint="eastAsia"/>
          <w:color w:val="auto"/>
          <w:sz w:val="28"/>
          <w:szCs w:val="28"/>
          <w:highlight w:val="none"/>
        </w:rPr>
        <w:br w:type="page"/>
      </w:r>
    </w:p>
    <w:p w14:paraId="105AE491">
      <w:pPr>
        <w:pStyle w:val="6"/>
        <w:spacing w:before="0" w:after="0" w:line="240" w:lineRule="auto"/>
        <w:rPr>
          <w:color w:val="auto"/>
          <w:sz w:val="28"/>
          <w:szCs w:val="28"/>
          <w:highlight w:val="none"/>
        </w:rPr>
      </w:pPr>
      <w:bookmarkStart w:id="188" w:name="_Toc6323"/>
      <w:r>
        <w:rPr>
          <w:rFonts w:hint="eastAsia"/>
          <w:color w:val="auto"/>
          <w:sz w:val="28"/>
          <w:szCs w:val="28"/>
          <w:highlight w:val="none"/>
        </w:rPr>
        <w:t>第六部分</w:t>
      </w:r>
      <w:r>
        <w:rPr>
          <w:rFonts w:hint="eastAsia"/>
          <w:color w:val="auto"/>
          <w:sz w:val="28"/>
          <w:szCs w:val="28"/>
          <w:highlight w:val="none"/>
          <w:lang w:val="en-US" w:eastAsia="zh-CN"/>
        </w:rPr>
        <w:t xml:space="preserve"> </w:t>
      </w:r>
      <w:r>
        <w:rPr>
          <w:rFonts w:hint="eastAsia"/>
          <w:color w:val="auto"/>
          <w:sz w:val="28"/>
          <w:szCs w:val="28"/>
          <w:highlight w:val="none"/>
        </w:rPr>
        <w:t>附件－投标文件格式</w:t>
      </w:r>
      <w:bookmarkEnd w:id="178"/>
      <w:bookmarkEnd w:id="188"/>
    </w:p>
    <w:p w14:paraId="69C805A3">
      <w:pPr>
        <w:rPr>
          <w:color w:val="auto"/>
          <w:highlight w:val="none"/>
        </w:rPr>
      </w:pPr>
    </w:p>
    <w:p w14:paraId="20140538">
      <w:pPr>
        <w:pStyle w:val="8"/>
        <w:widowControl w:val="0"/>
        <w:overflowPunct w:val="0"/>
        <w:spacing w:line="240" w:lineRule="auto"/>
        <w:rPr>
          <w:rFonts w:ascii="宋体" w:hAnsi="宋体"/>
          <w:color w:val="auto"/>
          <w:sz w:val="21"/>
          <w:szCs w:val="21"/>
          <w:highlight w:val="none"/>
        </w:rPr>
      </w:pPr>
      <w:bookmarkStart w:id="189" w:name="_Toc25786"/>
      <w:bookmarkStart w:id="190" w:name="_Toc12136"/>
      <w:r>
        <w:rPr>
          <w:rFonts w:hint="eastAsia" w:ascii="宋体" w:hAnsi="宋体"/>
          <w:color w:val="auto"/>
          <w:sz w:val="21"/>
          <w:szCs w:val="21"/>
          <w:highlight w:val="none"/>
        </w:rPr>
        <w:t>投标文件目录</w:t>
      </w:r>
      <w:bookmarkEnd w:id="189"/>
      <w:bookmarkEnd w:id="190"/>
    </w:p>
    <w:p w14:paraId="1F64D416">
      <w:pPr>
        <w:jc w:val="center"/>
        <w:rPr>
          <w:rFonts w:ascii="黑体" w:eastAsia="黑体"/>
          <w:color w:val="auto"/>
          <w:sz w:val="32"/>
          <w:szCs w:val="32"/>
          <w:highlight w:val="none"/>
        </w:rPr>
      </w:pPr>
    </w:p>
    <w:p w14:paraId="26143ED3">
      <w:pPr>
        <w:jc w:val="center"/>
        <w:rPr>
          <w:rFonts w:ascii="黑体" w:eastAsia="黑体"/>
          <w:color w:val="auto"/>
          <w:sz w:val="32"/>
          <w:szCs w:val="32"/>
          <w:highlight w:val="none"/>
        </w:rPr>
      </w:pPr>
      <w:r>
        <w:rPr>
          <w:rFonts w:hint="eastAsia" w:ascii="黑体" w:eastAsia="黑体"/>
          <w:color w:val="auto"/>
          <w:sz w:val="32"/>
          <w:szCs w:val="32"/>
          <w:highlight w:val="none"/>
        </w:rPr>
        <w:t>目录</w:t>
      </w:r>
    </w:p>
    <w:p w14:paraId="2E866B4A">
      <w:pPr>
        <w:adjustRightInd/>
        <w:snapToGrid/>
        <w:spacing w:line="276" w:lineRule="auto"/>
        <w:rPr>
          <w:rFonts w:ascii="宋体" w:hAnsi="宋体"/>
          <w:color w:val="auto"/>
          <w:szCs w:val="21"/>
          <w:highlight w:val="none"/>
        </w:rPr>
      </w:pPr>
      <w:r>
        <w:rPr>
          <w:rFonts w:hint="eastAsia" w:ascii="宋体" w:hAnsi="宋体"/>
          <w:color w:val="auto"/>
          <w:szCs w:val="21"/>
          <w:highlight w:val="none"/>
        </w:rPr>
        <w:t>格式自理。</w:t>
      </w:r>
    </w:p>
    <w:p w14:paraId="142A9009">
      <w:pPr>
        <w:adjustRightInd/>
        <w:snapToGrid/>
        <w:spacing w:line="276" w:lineRule="auto"/>
        <w:rPr>
          <w:rFonts w:ascii="宋体" w:hAnsi="宋体"/>
          <w:color w:val="auto"/>
          <w:szCs w:val="21"/>
          <w:highlight w:val="none"/>
        </w:rPr>
      </w:pPr>
    </w:p>
    <w:p w14:paraId="78429C72">
      <w:pPr>
        <w:adjustRightInd/>
        <w:snapToGrid/>
        <w:spacing w:line="276" w:lineRule="auto"/>
        <w:rPr>
          <w:rFonts w:ascii="宋体" w:hAnsi="宋体"/>
          <w:color w:val="auto"/>
          <w:szCs w:val="21"/>
          <w:highlight w:val="none"/>
        </w:rPr>
      </w:pPr>
    </w:p>
    <w:p w14:paraId="41579405">
      <w:pPr>
        <w:adjustRightInd/>
        <w:snapToGrid/>
        <w:spacing w:line="276" w:lineRule="auto"/>
        <w:rPr>
          <w:rFonts w:ascii="宋体" w:hAnsi="宋体"/>
          <w:color w:val="auto"/>
          <w:szCs w:val="21"/>
          <w:highlight w:val="none"/>
        </w:rPr>
      </w:pPr>
      <w:r>
        <w:rPr>
          <w:rFonts w:hint="eastAsia" w:ascii="宋体" w:hAnsi="宋体"/>
          <w:color w:val="auto"/>
          <w:szCs w:val="21"/>
          <w:highlight w:val="none"/>
        </w:rPr>
        <w:t>注：</w:t>
      </w:r>
    </w:p>
    <w:p w14:paraId="22ED6CE8">
      <w:pPr>
        <w:adjustRightInd/>
        <w:snapToGrid/>
        <w:spacing w:line="276" w:lineRule="auto"/>
        <w:rPr>
          <w:rFonts w:ascii="宋体" w:hAnsi="宋体"/>
          <w:color w:val="auto"/>
          <w:szCs w:val="21"/>
          <w:highlight w:val="none"/>
        </w:rPr>
      </w:pPr>
      <w:r>
        <w:rPr>
          <w:rFonts w:hint="eastAsia" w:ascii="宋体" w:hAnsi="宋体"/>
          <w:color w:val="auto"/>
          <w:szCs w:val="21"/>
          <w:highlight w:val="none"/>
        </w:rPr>
        <w:t>1、投标人制作的投标文件应当具备目录。</w:t>
      </w:r>
      <w:r>
        <w:rPr>
          <w:rFonts w:ascii="宋体" w:hAnsi="宋体"/>
          <w:color w:val="auto"/>
          <w:szCs w:val="21"/>
          <w:highlight w:val="none"/>
        </w:rPr>
        <w:br w:type="page"/>
      </w:r>
    </w:p>
    <w:p w14:paraId="05848474">
      <w:pPr>
        <w:pStyle w:val="8"/>
        <w:widowControl w:val="0"/>
        <w:overflowPunct w:val="0"/>
        <w:spacing w:line="240" w:lineRule="auto"/>
        <w:rPr>
          <w:rFonts w:ascii="宋体" w:hAnsi="宋体"/>
          <w:color w:val="auto"/>
          <w:sz w:val="21"/>
          <w:szCs w:val="21"/>
          <w:highlight w:val="none"/>
        </w:rPr>
      </w:pPr>
      <w:bookmarkStart w:id="191" w:name="_Toc25920"/>
      <w:bookmarkStart w:id="192" w:name="_Toc18792"/>
      <w:r>
        <w:rPr>
          <w:rFonts w:hint="eastAsia" w:ascii="宋体" w:hAnsi="宋体"/>
          <w:color w:val="auto"/>
          <w:sz w:val="21"/>
          <w:szCs w:val="21"/>
          <w:highlight w:val="none"/>
        </w:rPr>
        <w:t>附件1.评分标准索引表</w:t>
      </w:r>
      <w:bookmarkEnd w:id="191"/>
      <w:bookmarkEnd w:id="192"/>
    </w:p>
    <w:p w14:paraId="66EB7CBB">
      <w:pPr>
        <w:adjustRightInd/>
        <w:snapToGrid/>
        <w:spacing w:line="276" w:lineRule="auto"/>
        <w:rPr>
          <w:rFonts w:ascii="宋体" w:hAnsi="宋体"/>
          <w:color w:val="auto"/>
          <w:szCs w:val="21"/>
          <w:highlight w:val="none"/>
        </w:rPr>
      </w:pPr>
    </w:p>
    <w:p w14:paraId="427A014E">
      <w:pPr>
        <w:jc w:val="center"/>
        <w:rPr>
          <w:rFonts w:ascii="黑体" w:eastAsia="黑体"/>
          <w:color w:val="auto"/>
          <w:sz w:val="32"/>
          <w:szCs w:val="32"/>
          <w:highlight w:val="none"/>
        </w:rPr>
      </w:pPr>
      <w:r>
        <w:rPr>
          <w:rFonts w:hint="eastAsia" w:ascii="黑体" w:eastAsia="黑体"/>
          <w:color w:val="auto"/>
          <w:sz w:val="32"/>
          <w:szCs w:val="32"/>
          <w:highlight w:val="none"/>
        </w:rPr>
        <w:t>评分标准索引表</w:t>
      </w:r>
    </w:p>
    <w:tbl>
      <w:tblPr>
        <w:tblStyle w:val="33"/>
        <w:tblW w:w="90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954"/>
        <w:gridCol w:w="1744"/>
        <w:gridCol w:w="1554"/>
        <w:gridCol w:w="2078"/>
      </w:tblGrid>
      <w:tr w14:paraId="526F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4" w:type="dxa"/>
            <w:vAlign w:val="center"/>
          </w:tcPr>
          <w:p w14:paraId="021BFAA5">
            <w:pPr>
              <w:snapToGrid/>
              <w:spacing w:line="240" w:lineRule="auto"/>
              <w:jc w:val="center"/>
              <w:rPr>
                <w:rFonts w:ascii="宋体" w:hAnsi="宋体" w:cs="宋体"/>
                <w:color w:val="auto"/>
                <w:highlight w:val="none"/>
              </w:rPr>
            </w:pPr>
            <w:r>
              <w:rPr>
                <w:rFonts w:hint="eastAsia" w:ascii="宋体" w:hAnsi="宋体" w:cs="宋体"/>
                <w:color w:val="auto"/>
                <w:highlight w:val="none"/>
              </w:rPr>
              <w:t>序号</w:t>
            </w:r>
          </w:p>
        </w:tc>
        <w:tc>
          <w:tcPr>
            <w:tcW w:w="1954" w:type="dxa"/>
            <w:vAlign w:val="center"/>
          </w:tcPr>
          <w:p w14:paraId="7DF38963">
            <w:pPr>
              <w:snapToGrid/>
              <w:spacing w:line="240" w:lineRule="auto"/>
              <w:jc w:val="center"/>
              <w:rPr>
                <w:rFonts w:ascii="宋体" w:hAnsi="宋体" w:cs="宋体"/>
                <w:color w:val="auto"/>
                <w:highlight w:val="none"/>
              </w:rPr>
            </w:pPr>
            <w:r>
              <w:rPr>
                <w:rFonts w:hint="eastAsia" w:ascii="宋体" w:hAnsi="宋体" w:cs="宋体"/>
                <w:color w:val="auto"/>
                <w:highlight w:val="none"/>
              </w:rPr>
              <w:t>评审项目</w:t>
            </w:r>
          </w:p>
        </w:tc>
        <w:tc>
          <w:tcPr>
            <w:tcW w:w="1744" w:type="dxa"/>
            <w:vAlign w:val="center"/>
          </w:tcPr>
          <w:p w14:paraId="5F52CDF3">
            <w:pPr>
              <w:snapToGrid/>
              <w:spacing w:line="240" w:lineRule="auto"/>
              <w:jc w:val="center"/>
              <w:rPr>
                <w:rFonts w:ascii="宋体" w:hAnsi="宋体" w:cs="宋体"/>
                <w:color w:val="auto"/>
                <w:highlight w:val="none"/>
              </w:rPr>
            </w:pPr>
            <w:r>
              <w:rPr>
                <w:rFonts w:hint="eastAsia" w:ascii="宋体" w:hAnsi="宋体" w:cs="宋体"/>
                <w:color w:val="auto"/>
                <w:highlight w:val="none"/>
              </w:rPr>
              <w:t>评审细则</w:t>
            </w:r>
          </w:p>
        </w:tc>
        <w:tc>
          <w:tcPr>
            <w:tcW w:w="1554" w:type="dxa"/>
            <w:vAlign w:val="center"/>
          </w:tcPr>
          <w:p w14:paraId="3626064D">
            <w:pPr>
              <w:snapToGrid/>
              <w:spacing w:line="240" w:lineRule="auto"/>
              <w:jc w:val="center"/>
              <w:rPr>
                <w:rFonts w:ascii="宋体" w:hAnsi="宋体" w:cs="宋体"/>
                <w:color w:val="auto"/>
                <w:highlight w:val="none"/>
              </w:rPr>
            </w:pPr>
            <w:r>
              <w:rPr>
                <w:rFonts w:hint="eastAsia" w:ascii="宋体" w:hAnsi="宋体" w:cs="宋体"/>
                <w:color w:val="auto"/>
                <w:highlight w:val="none"/>
              </w:rPr>
              <w:t>分值</w:t>
            </w:r>
          </w:p>
        </w:tc>
        <w:tc>
          <w:tcPr>
            <w:tcW w:w="2078" w:type="dxa"/>
            <w:vAlign w:val="center"/>
          </w:tcPr>
          <w:p w14:paraId="663159E3">
            <w:pPr>
              <w:snapToGrid/>
              <w:spacing w:line="240" w:lineRule="auto"/>
              <w:jc w:val="center"/>
              <w:rPr>
                <w:rFonts w:ascii="宋体" w:hAnsi="宋体" w:cs="宋体"/>
                <w:color w:val="auto"/>
                <w:highlight w:val="none"/>
              </w:rPr>
            </w:pPr>
            <w:r>
              <w:rPr>
                <w:rFonts w:hint="eastAsia" w:ascii="宋体" w:hAnsi="宋体" w:cs="宋体"/>
                <w:color w:val="auto"/>
                <w:highlight w:val="none"/>
              </w:rPr>
              <w:t>页码范围</w:t>
            </w:r>
          </w:p>
        </w:tc>
      </w:tr>
      <w:tr w14:paraId="44D1B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9034" w:type="dxa"/>
            <w:gridSpan w:val="5"/>
            <w:vAlign w:val="center"/>
          </w:tcPr>
          <w:p w14:paraId="3D2115D6">
            <w:pPr>
              <w:snapToGrid/>
              <w:spacing w:line="240" w:lineRule="auto"/>
              <w:rPr>
                <w:rFonts w:ascii="宋体" w:hAnsi="宋体" w:cs="宋体"/>
                <w:color w:val="auto"/>
                <w:highlight w:val="none"/>
              </w:rPr>
            </w:pPr>
            <w:r>
              <w:rPr>
                <w:rFonts w:hint="eastAsia" w:ascii="宋体" w:hAnsi="宋体" w:cs="宋体"/>
                <w:color w:val="auto"/>
                <w:highlight w:val="none"/>
              </w:rPr>
              <w:t>商务评审</w:t>
            </w:r>
          </w:p>
        </w:tc>
      </w:tr>
      <w:tr w14:paraId="3E88C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704" w:type="dxa"/>
            <w:vAlign w:val="center"/>
          </w:tcPr>
          <w:p w14:paraId="5DBBD2D8">
            <w:pPr>
              <w:snapToGrid/>
              <w:spacing w:line="240" w:lineRule="auto"/>
              <w:jc w:val="center"/>
              <w:rPr>
                <w:rFonts w:ascii="宋体" w:hAnsi="宋体" w:cs="宋体"/>
                <w:color w:val="auto"/>
                <w:highlight w:val="none"/>
              </w:rPr>
            </w:pPr>
          </w:p>
        </w:tc>
        <w:tc>
          <w:tcPr>
            <w:tcW w:w="1954" w:type="dxa"/>
            <w:vAlign w:val="center"/>
          </w:tcPr>
          <w:p w14:paraId="3E73D3BD">
            <w:pPr>
              <w:snapToGrid/>
              <w:spacing w:line="240" w:lineRule="auto"/>
              <w:jc w:val="center"/>
              <w:rPr>
                <w:rFonts w:ascii="宋体" w:hAnsi="宋体" w:cs="宋体"/>
                <w:color w:val="auto"/>
                <w:highlight w:val="none"/>
              </w:rPr>
            </w:pPr>
          </w:p>
        </w:tc>
        <w:tc>
          <w:tcPr>
            <w:tcW w:w="1744" w:type="dxa"/>
            <w:vAlign w:val="center"/>
          </w:tcPr>
          <w:p w14:paraId="0FACE8C7">
            <w:pPr>
              <w:snapToGrid/>
              <w:spacing w:line="240" w:lineRule="auto"/>
              <w:jc w:val="center"/>
              <w:rPr>
                <w:rFonts w:ascii="宋体" w:hAnsi="宋体" w:cs="宋体"/>
                <w:color w:val="auto"/>
                <w:highlight w:val="none"/>
              </w:rPr>
            </w:pPr>
          </w:p>
        </w:tc>
        <w:tc>
          <w:tcPr>
            <w:tcW w:w="1554" w:type="dxa"/>
            <w:vAlign w:val="center"/>
          </w:tcPr>
          <w:p w14:paraId="22044E47">
            <w:pPr>
              <w:snapToGrid/>
              <w:spacing w:line="240" w:lineRule="auto"/>
              <w:jc w:val="center"/>
              <w:rPr>
                <w:rFonts w:ascii="宋体" w:hAnsi="宋体" w:cs="宋体"/>
                <w:color w:val="auto"/>
                <w:highlight w:val="none"/>
              </w:rPr>
            </w:pPr>
          </w:p>
        </w:tc>
        <w:tc>
          <w:tcPr>
            <w:tcW w:w="2078" w:type="dxa"/>
            <w:vAlign w:val="center"/>
          </w:tcPr>
          <w:p w14:paraId="56E7DDE7">
            <w:pPr>
              <w:snapToGrid/>
              <w:spacing w:line="240" w:lineRule="auto"/>
              <w:jc w:val="center"/>
              <w:rPr>
                <w:rFonts w:ascii="宋体" w:hAnsi="宋体" w:cs="宋体"/>
                <w:color w:val="auto"/>
                <w:highlight w:val="none"/>
              </w:rPr>
            </w:pPr>
          </w:p>
        </w:tc>
      </w:tr>
      <w:tr w14:paraId="3988B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704" w:type="dxa"/>
            <w:vAlign w:val="center"/>
          </w:tcPr>
          <w:p w14:paraId="03C9F662">
            <w:pPr>
              <w:snapToGrid/>
              <w:spacing w:line="240" w:lineRule="auto"/>
              <w:jc w:val="center"/>
              <w:rPr>
                <w:rFonts w:ascii="宋体" w:hAnsi="宋体" w:cs="宋体"/>
                <w:color w:val="auto"/>
                <w:highlight w:val="none"/>
              </w:rPr>
            </w:pPr>
          </w:p>
        </w:tc>
        <w:tc>
          <w:tcPr>
            <w:tcW w:w="1954" w:type="dxa"/>
            <w:vAlign w:val="center"/>
          </w:tcPr>
          <w:p w14:paraId="0971AADA">
            <w:pPr>
              <w:snapToGrid/>
              <w:spacing w:line="240" w:lineRule="auto"/>
              <w:jc w:val="center"/>
              <w:rPr>
                <w:rFonts w:ascii="宋体" w:hAnsi="宋体" w:cs="宋体"/>
                <w:color w:val="auto"/>
                <w:highlight w:val="none"/>
              </w:rPr>
            </w:pPr>
          </w:p>
        </w:tc>
        <w:tc>
          <w:tcPr>
            <w:tcW w:w="1744" w:type="dxa"/>
            <w:vAlign w:val="center"/>
          </w:tcPr>
          <w:p w14:paraId="1D3A7D48">
            <w:pPr>
              <w:snapToGrid/>
              <w:spacing w:line="240" w:lineRule="auto"/>
              <w:jc w:val="center"/>
              <w:rPr>
                <w:rFonts w:ascii="宋体" w:hAnsi="宋体" w:cs="宋体"/>
                <w:color w:val="auto"/>
                <w:highlight w:val="none"/>
              </w:rPr>
            </w:pPr>
          </w:p>
        </w:tc>
        <w:tc>
          <w:tcPr>
            <w:tcW w:w="1554" w:type="dxa"/>
            <w:vAlign w:val="center"/>
          </w:tcPr>
          <w:p w14:paraId="196540DF">
            <w:pPr>
              <w:snapToGrid/>
              <w:spacing w:line="240" w:lineRule="auto"/>
              <w:jc w:val="center"/>
              <w:rPr>
                <w:rFonts w:ascii="宋体" w:hAnsi="宋体" w:cs="宋体"/>
                <w:color w:val="auto"/>
                <w:highlight w:val="none"/>
              </w:rPr>
            </w:pPr>
          </w:p>
        </w:tc>
        <w:tc>
          <w:tcPr>
            <w:tcW w:w="2078" w:type="dxa"/>
            <w:vAlign w:val="center"/>
          </w:tcPr>
          <w:p w14:paraId="52158992">
            <w:pPr>
              <w:snapToGrid/>
              <w:spacing w:line="240" w:lineRule="auto"/>
              <w:jc w:val="center"/>
              <w:rPr>
                <w:rFonts w:ascii="宋体" w:hAnsi="宋体" w:cs="宋体"/>
                <w:color w:val="auto"/>
                <w:highlight w:val="none"/>
              </w:rPr>
            </w:pPr>
          </w:p>
        </w:tc>
      </w:tr>
      <w:tr w14:paraId="5A081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704" w:type="dxa"/>
            <w:vAlign w:val="center"/>
          </w:tcPr>
          <w:p w14:paraId="1A1F58C8">
            <w:pPr>
              <w:snapToGrid/>
              <w:spacing w:line="240" w:lineRule="auto"/>
              <w:jc w:val="center"/>
              <w:rPr>
                <w:rFonts w:ascii="宋体" w:hAnsi="宋体" w:cs="宋体"/>
                <w:color w:val="auto"/>
                <w:highlight w:val="none"/>
              </w:rPr>
            </w:pPr>
          </w:p>
        </w:tc>
        <w:tc>
          <w:tcPr>
            <w:tcW w:w="1954" w:type="dxa"/>
            <w:vAlign w:val="center"/>
          </w:tcPr>
          <w:p w14:paraId="18A470CC">
            <w:pPr>
              <w:snapToGrid/>
              <w:spacing w:line="240" w:lineRule="auto"/>
              <w:jc w:val="center"/>
              <w:rPr>
                <w:rFonts w:ascii="宋体" w:hAnsi="宋体" w:cs="宋体"/>
                <w:color w:val="auto"/>
                <w:highlight w:val="none"/>
              </w:rPr>
            </w:pPr>
          </w:p>
        </w:tc>
        <w:tc>
          <w:tcPr>
            <w:tcW w:w="1744" w:type="dxa"/>
            <w:vAlign w:val="center"/>
          </w:tcPr>
          <w:p w14:paraId="2553FB61">
            <w:pPr>
              <w:snapToGrid/>
              <w:spacing w:line="240" w:lineRule="auto"/>
              <w:jc w:val="center"/>
              <w:rPr>
                <w:rFonts w:ascii="宋体" w:hAnsi="宋体" w:cs="宋体"/>
                <w:color w:val="auto"/>
                <w:highlight w:val="none"/>
              </w:rPr>
            </w:pPr>
          </w:p>
        </w:tc>
        <w:tc>
          <w:tcPr>
            <w:tcW w:w="1554" w:type="dxa"/>
            <w:vAlign w:val="center"/>
          </w:tcPr>
          <w:p w14:paraId="609669C8">
            <w:pPr>
              <w:snapToGrid/>
              <w:spacing w:line="240" w:lineRule="auto"/>
              <w:jc w:val="center"/>
              <w:rPr>
                <w:rFonts w:ascii="宋体" w:hAnsi="宋体" w:cs="宋体"/>
                <w:color w:val="auto"/>
                <w:highlight w:val="none"/>
              </w:rPr>
            </w:pPr>
          </w:p>
        </w:tc>
        <w:tc>
          <w:tcPr>
            <w:tcW w:w="2078" w:type="dxa"/>
            <w:vAlign w:val="center"/>
          </w:tcPr>
          <w:p w14:paraId="7FA07277">
            <w:pPr>
              <w:snapToGrid/>
              <w:spacing w:line="240" w:lineRule="auto"/>
              <w:jc w:val="center"/>
              <w:rPr>
                <w:rFonts w:ascii="宋体" w:hAnsi="宋体" w:cs="宋体"/>
                <w:color w:val="auto"/>
                <w:highlight w:val="none"/>
              </w:rPr>
            </w:pPr>
          </w:p>
        </w:tc>
      </w:tr>
      <w:tr w14:paraId="315B2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9034" w:type="dxa"/>
            <w:gridSpan w:val="5"/>
            <w:vAlign w:val="center"/>
          </w:tcPr>
          <w:p w14:paraId="1E839FEB">
            <w:pPr>
              <w:snapToGrid/>
              <w:spacing w:line="240" w:lineRule="auto"/>
              <w:rPr>
                <w:rFonts w:ascii="宋体" w:hAnsi="宋体" w:cs="宋体"/>
                <w:color w:val="auto"/>
                <w:highlight w:val="none"/>
              </w:rPr>
            </w:pPr>
            <w:r>
              <w:rPr>
                <w:rFonts w:hint="eastAsia" w:ascii="宋体" w:hAnsi="宋体" w:cs="宋体"/>
                <w:color w:val="auto"/>
                <w:highlight w:val="none"/>
              </w:rPr>
              <w:t>技术评审</w:t>
            </w:r>
          </w:p>
        </w:tc>
      </w:tr>
      <w:tr w14:paraId="2BDEA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704" w:type="dxa"/>
            <w:vAlign w:val="center"/>
          </w:tcPr>
          <w:p w14:paraId="578CD625">
            <w:pPr>
              <w:jc w:val="center"/>
              <w:rPr>
                <w:rFonts w:ascii="宋体" w:hAnsi="宋体" w:cs="宋体"/>
                <w:color w:val="auto"/>
                <w:highlight w:val="none"/>
              </w:rPr>
            </w:pPr>
          </w:p>
        </w:tc>
        <w:tc>
          <w:tcPr>
            <w:tcW w:w="1954" w:type="dxa"/>
            <w:vAlign w:val="center"/>
          </w:tcPr>
          <w:p w14:paraId="14EDA9E7">
            <w:pPr>
              <w:jc w:val="center"/>
              <w:rPr>
                <w:rFonts w:ascii="宋体" w:hAnsi="宋体" w:cs="宋体"/>
                <w:color w:val="auto"/>
                <w:highlight w:val="none"/>
              </w:rPr>
            </w:pPr>
          </w:p>
        </w:tc>
        <w:tc>
          <w:tcPr>
            <w:tcW w:w="1744" w:type="dxa"/>
            <w:vAlign w:val="center"/>
          </w:tcPr>
          <w:p w14:paraId="1C9D6CF4">
            <w:pPr>
              <w:jc w:val="center"/>
              <w:rPr>
                <w:rFonts w:ascii="宋体" w:hAnsi="宋体" w:cs="宋体"/>
                <w:color w:val="auto"/>
                <w:highlight w:val="none"/>
              </w:rPr>
            </w:pPr>
          </w:p>
        </w:tc>
        <w:tc>
          <w:tcPr>
            <w:tcW w:w="1554" w:type="dxa"/>
            <w:vAlign w:val="center"/>
          </w:tcPr>
          <w:p w14:paraId="5D7BA726">
            <w:pPr>
              <w:jc w:val="center"/>
              <w:rPr>
                <w:rFonts w:ascii="宋体" w:hAnsi="宋体" w:cs="宋体"/>
                <w:color w:val="auto"/>
                <w:highlight w:val="none"/>
              </w:rPr>
            </w:pPr>
          </w:p>
        </w:tc>
        <w:tc>
          <w:tcPr>
            <w:tcW w:w="2078" w:type="dxa"/>
            <w:vAlign w:val="center"/>
          </w:tcPr>
          <w:p w14:paraId="16DB6DFB">
            <w:pPr>
              <w:jc w:val="center"/>
              <w:rPr>
                <w:rFonts w:ascii="宋体" w:hAnsi="宋体" w:cs="宋体"/>
                <w:color w:val="auto"/>
                <w:highlight w:val="none"/>
              </w:rPr>
            </w:pPr>
          </w:p>
        </w:tc>
      </w:tr>
      <w:tr w14:paraId="2CF2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704" w:type="dxa"/>
            <w:vAlign w:val="center"/>
          </w:tcPr>
          <w:p w14:paraId="4261AF62">
            <w:pPr>
              <w:jc w:val="center"/>
              <w:rPr>
                <w:rFonts w:ascii="宋体" w:hAnsi="宋体" w:cs="宋体"/>
                <w:color w:val="auto"/>
                <w:highlight w:val="none"/>
              </w:rPr>
            </w:pPr>
          </w:p>
        </w:tc>
        <w:tc>
          <w:tcPr>
            <w:tcW w:w="1954" w:type="dxa"/>
            <w:vAlign w:val="center"/>
          </w:tcPr>
          <w:p w14:paraId="6B38F0CD">
            <w:pPr>
              <w:jc w:val="center"/>
              <w:rPr>
                <w:rFonts w:ascii="宋体" w:hAnsi="宋体" w:cs="宋体"/>
                <w:color w:val="auto"/>
                <w:highlight w:val="none"/>
              </w:rPr>
            </w:pPr>
          </w:p>
        </w:tc>
        <w:tc>
          <w:tcPr>
            <w:tcW w:w="1744" w:type="dxa"/>
            <w:vAlign w:val="center"/>
          </w:tcPr>
          <w:p w14:paraId="48B295D6">
            <w:pPr>
              <w:jc w:val="center"/>
              <w:rPr>
                <w:rFonts w:ascii="宋体" w:hAnsi="宋体" w:cs="宋体"/>
                <w:color w:val="auto"/>
                <w:highlight w:val="none"/>
              </w:rPr>
            </w:pPr>
          </w:p>
        </w:tc>
        <w:tc>
          <w:tcPr>
            <w:tcW w:w="1554" w:type="dxa"/>
            <w:vAlign w:val="center"/>
          </w:tcPr>
          <w:p w14:paraId="78DF740F">
            <w:pPr>
              <w:jc w:val="center"/>
              <w:rPr>
                <w:rFonts w:ascii="宋体" w:hAnsi="宋体" w:cs="宋体"/>
                <w:color w:val="auto"/>
                <w:highlight w:val="none"/>
              </w:rPr>
            </w:pPr>
          </w:p>
        </w:tc>
        <w:tc>
          <w:tcPr>
            <w:tcW w:w="2078" w:type="dxa"/>
            <w:vAlign w:val="center"/>
          </w:tcPr>
          <w:p w14:paraId="1A00D829">
            <w:pPr>
              <w:jc w:val="center"/>
              <w:rPr>
                <w:rFonts w:ascii="宋体" w:hAnsi="宋体" w:cs="宋体"/>
                <w:color w:val="auto"/>
                <w:highlight w:val="none"/>
              </w:rPr>
            </w:pPr>
          </w:p>
        </w:tc>
      </w:tr>
      <w:tr w14:paraId="4B5C2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704" w:type="dxa"/>
            <w:vAlign w:val="center"/>
          </w:tcPr>
          <w:p w14:paraId="2DAF874A">
            <w:pPr>
              <w:jc w:val="center"/>
              <w:rPr>
                <w:rFonts w:ascii="宋体" w:hAnsi="宋体" w:cs="宋体"/>
                <w:color w:val="auto"/>
                <w:highlight w:val="none"/>
              </w:rPr>
            </w:pPr>
          </w:p>
        </w:tc>
        <w:tc>
          <w:tcPr>
            <w:tcW w:w="1954" w:type="dxa"/>
            <w:vAlign w:val="center"/>
          </w:tcPr>
          <w:p w14:paraId="697E8719">
            <w:pPr>
              <w:jc w:val="center"/>
              <w:rPr>
                <w:rFonts w:ascii="宋体" w:hAnsi="宋体" w:cs="宋体"/>
                <w:color w:val="auto"/>
                <w:highlight w:val="none"/>
              </w:rPr>
            </w:pPr>
          </w:p>
        </w:tc>
        <w:tc>
          <w:tcPr>
            <w:tcW w:w="1744" w:type="dxa"/>
            <w:vAlign w:val="center"/>
          </w:tcPr>
          <w:p w14:paraId="6CB1429C">
            <w:pPr>
              <w:jc w:val="center"/>
              <w:rPr>
                <w:rFonts w:ascii="宋体" w:hAnsi="宋体" w:cs="宋体"/>
                <w:color w:val="auto"/>
                <w:highlight w:val="none"/>
              </w:rPr>
            </w:pPr>
          </w:p>
        </w:tc>
        <w:tc>
          <w:tcPr>
            <w:tcW w:w="1554" w:type="dxa"/>
            <w:vAlign w:val="center"/>
          </w:tcPr>
          <w:p w14:paraId="044F7DF9">
            <w:pPr>
              <w:jc w:val="center"/>
              <w:rPr>
                <w:rFonts w:ascii="宋体" w:hAnsi="宋体" w:cs="宋体"/>
                <w:color w:val="auto"/>
                <w:highlight w:val="none"/>
              </w:rPr>
            </w:pPr>
          </w:p>
        </w:tc>
        <w:tc>
          <w:tcPr>
            <w:tcW w:w="2078" w:type="dxa"/>
            <w:vAlign w:val="center"/>
          </w:tcPr>
          <w:p w14:paraId="59C51699">
            <w:pPr>
              <w:jc w:val="center"/>
              <w:rPr>
                <w:rFonts w:ascii="宋体" w:hAnsi="宋体" w:cs="宋体"/>
                <w:color w:val="auto"/>
                <w:highlight w:val="none"/>
              </w:rPr>
            </w:pPr>
          </w:p>
        </w:tc>
      </w:tr>
    </w:tbl>
    <w:p w14:paraId="3A0D0D23">
      <w:pPr>
        <w:rPr>
          <w:rFonts w:ascii="宋体" w:hAnsi="宋体"/>
          <w:color w:val="auto"/>
          <w:szCs w:val="21"/>
          <w:highlight w:val="none"/>
        </w:rPr>
      </w:pPr>
    </w:p>
    <w:p w14:paraId="3E682C15">
      <w:pPr>
        <w:rPr>
          <w:rFonts w:ascii="宋体" w:hAnsi="宋体"/>
          <w:color w:val="auto"/>
          <w:szCs w:val="21"/>
          <w:highlight w:val="none"/>
        </w:rPr>
      </w:pPr>
      <w:r>
        <w:rPr>
          <w:rFonts w:hint="eastAsia" w:ascii="宋体" w:hAnsi="宋体"/>
          <w:color w:val="auto"/>
          <w:szCs w:val="21"/>
          <w:highlight w:val="none"/>
        </w:rPr>
        <w:t>注：</w:t>
      </w:r>
    </w:p>
    <w:p w14:paraId="76DB9EF3">
      <w:pPr>
        <w:numPr>
          <w:ilvl w:val="0"/>
          <w:numId w:val="7"/>
        </w:numPr>
        <w:rPr>
          <w:rFonts w:ascii="宋体" w:hAnsi="宋体"/>
          <w:color w:val="auto"/>
          <w:szCs w:val="21"/>
          <w:highlight w:val="none"/>
        </w:rPr>
      </w:pPr>
      <w:r>
        <w:rPr>
          <w:rFonts w:hint="eastAsia" w:ascii="宋体" w:hAnsi="宋体"/>
          <w:color w:val="auto"/>
          <w:szCs w:val="21"/>
          <w:highlight w:val="none"/>
        </w:rPr>
        <w:t>该表格为参考格式，投标人可按实际情况自行制订评分标准索引表。</w:t>
      </w:r>
    </w:p>
    <w:p w14:paraId="62AD89E4">
      <w:pPr>
        <w:pStyle w:val="2"/>
        <w:spacing w:before="0"/>
        <w:ind w:left="0"/>
        <w:rPr>
          <w:color w:val="auto"/>
          <w:highlight w:val="none"/>
        </w:rPr>
      </w:pPr>
    </w:p>
    <w:p w14:paraId="4F5C00E5">
      <w:pPr>
        <w:adjustRightInd/>
        <w:snapToGrid/>
        <w:spacing w:line="276" w:lineRule="auto"/>
        <w:rPr>
          <w:rFonts w:ascii="宋体" w:hAnsi="宋体"/>
          <w:color w:val="auto"/>
          <w:szCs w:val="21"/>
          <w:highlight w:val="none"/>
        </w:rPr>
      </w:pPr>
    </w:p>
    <w:p w14:paraId="4FC50D27">
      <w:pPr>
        <w:adjustRightInd/>
        <w:snapToGrid/>
        <w:spacing w:line="276" w:lineRule="auto"/>
        <w:rPr>
          <w:rFonts w:ascii="宋体" w:hAnsi="宋体"/>
          <w:color w:val="auto"/>
          <w:szCs w:val="21"/>
          <w:highlight w:val="none"/>
        </w:rPr>
      </w:pPr>
      <w:r>
        <w:rPr>
          <w:rFonts w:ascii="宋体" w:hAnsi="宋体"/>
          <w:color w:val="auto"/>
          <w:szCs w:val="21"/>
          <w:highlight w:val="none"/>
        </w:rPr>
        <w:br w:type="page"/>
      </w:r>
    </w:p>
    <w:p w14:paraId="47CCD191">
      <w:pPr>
        <w:jc w:val="center"/>
        <w:rPr>
          <w:rFonts w:ascii="黑体" w:eastAsia="黑体"/>
          <w:color w:val="auto"/>
          <w:sz w:val="52"/>
          <w:szCs w:val="52"/>
          <w:highlight w:val="none"/>
        </w:rPr>
      </w:pPr>
      <w:bookmarkStart w:id="193" w:name="_Toc18450"/>
      <w:bookmarkStart w:id="194" w:name="_Toc30918"/>
      <w:bookmarkStart w:id="195" w:name="_Toc28154"/>
      <w:bookmarkStart w:id="196" w:name="_Toc21746"/>
      <w:bookmarkStart w:id="197" w:name="_Toc20335"/>
    </w:p>
    <w:p w14:paraId="66569B35">
      <w:pPr>
        <w:pStyle w:val="6"/>
        <w:spacing w:before="0" w:after="0" w:line="360" w:lineRule="auto"/>
        <w:jc w:val="center"/>
        <w:rPr>
          <w:color w:val="auto"/>
          <w:sz w:val="72"/>
          <w:szCs w:val="72"/>
          <w:highlight w:val="none"/>
        </w:rPr>
      </w:pPr>
      <w:bookmarkStart w:id="198" w:name="_Toc9213"/>
      <w:bookmarkStart w:id="199" w:name="_Toc31811"/>
      <w:r>
        <w:rPr>
          <w:rFonts w:hint="eastAsia"/>
          <w:color w:val="auto"/>
          <w:sz w:val="72"/>
          <w:szCs w:val="72"/>
          <w:highlight w:val="none"/>
        </w:rPr>
        <w:t>价格文件</w:t>
      </w:r>
      <w:bookmarkEnd w:id="193"/>
      <w:bookmarkEnd w:id="194"/>
      <w:bookmarkEnd w:id="198"/>
      <w:bookmarkEnd w:id="199"/>
      <w:bookmarkStart w:id="200" w:name="_Hlt10456397"/>
      <w:bookmarkEnd w:id="200"/>
      <w:bookmarkStart w:id="201" w:name="_Hlt10519799"/>
      <w:bookmarkEnd w:id="201"/>
    </w:p>
    <w:p w14:paraId="53ECBC65">
      <w:pPr>
        <w:jc w:val="center"/>
        <w:rPr>
          <w:rFonts w:ascii="黑体" w:eastAsia="黑体"/>
          <w:color w:val="auto"/>
          <w:sz w:val="72"/>
          <w:szCs w:val="72"/>
          <w:highlight w:val="none"/>
        </w:rPr>
      </w:pPr>
      <w:r>
        <w:rPr>
          <w:rFonts w:hint="eastAsia" w:ascii="黑体" w:eastAsia="黑体"/>
          <w:color w:val="auto"/>
          <w:sz w:val="72"/>
          <w:szCs w:val="72"/>
          <w:highlight w:val="none"/>
        </w:rPr>
        <w:t>（单独装订成册）</w:t>
      </w:r>
      <w:bookmarkEnd w:id="195"/>
      <w:bookmarkEnd w:id="196"/>
      <w:bookmarkEnd w:id="197"/>
    </w:p>
    <w:p w14:paraId="11E8981C">
      <w:pPr>
        <w:rPr>
          <w:color w:val="auto"/>
          <w:highlight w:val="none"/>
        </w:rPr>
      </w:pPr>
    </w:p>
    <w:p w14:paraId="2F63C1D2">
      <w:pPr>
        <w:pStyle w:val="2"/>
        <w:ind w:left="0"/>
        <w:rPr>
          <w:color w:val="auto"/>
          <w:highlight w:val="none"/>
        </w:rPr>
      </w:pPr>
    </w:p>
    <w:p w14:paraId="5C89E546">
      <w:pPr>
        <w:pStyle w:val="30"/>
        <w:keepNext w:val="0"/>
        <w:keepLines w:val="0"/>
        <w:pageBreakBefore w:val="0"/>
        <w:widowControl/>
        <w:kinsoku/>
        <w:wordWrap/>
        <w:overflowPunct/>
        <w:topLinePunct w:val="0"/>
        <w:autoSpaceDE/>
        <w:autoSpaceDN/>
        <w:bidi w:val="0"/>
        <w:adjustRightInd w:val="0"/>
        <w:snapToGrid w:val="0"/>
        <w:spacing w:before="0" w:after="0" w:afterAutospacing="0" w:line="360" w:lineRule="auto"/>
        <w:ind w:left="0" w:firstLine="0" w:firstLineChars="0"/>
        <w:textAlignment w:val="auto"/>
        <w:rPr>
          <w:color w:val="auto"/>
          <w:highlight w:val="none"/>
        </w:rPr>
      </w:pPr>
    </w:p>
    <w:p w14:paraId="4CF1CC88">
      <w:pPr>
        <w:keepNext w:val="0"/>
        <w:keepLines w:val="0"/>
        <w:pageBreakBefore w:val="0"/>
        <w:widowControl/>
        <w:kinsoku/>
        <w:wordWrap/>
        <w:overflowPunct/>
        <w:topLinePunct w:val="0"/>
        <w:autoSpaceDE/>
        <w:autoSpaceDN/>
        <w:bidi w:val="0"/>
        <w:adjustRightInd/>
        <w:snapToGrid/>
        <w:spacing w:afterAutospacing="0" w:line="360" w:lineRule="auto"/>
        <w:ind w:left="0"/>
        <w:textAlignment w:val="auto"/>
        <w:rPr>
          <w:rFonts w:hint="default" w:ascii="Tahoma" w:hAnsi="Tahoma" w:eastAsia="宋体" w:cstheme="minorBidi"/>
          <w:b/>
          <w:bCs/>
          <w:spacing w:val="0"/>
          <w:kern w:val="0"/>
          <w:sz w:val="32"/>
          <w:szCs w:val="32"/>
        </w:rPr>
      </w:pPr>
      <w:r>
        <w:rPr>
          <w:rFonts w:hint="default" w:ascii="Tahoma" w:hAnsi="Tahoma" w:eastAsia="宋体" w:cstheme="minorBidi"/>
          <w:b/>
          <w:bCs/>
          <w:spacing w:val="53"/>
          <w:kern w:val="0"/>
          <w:sz w:val="32"/>
          <w:szCs w:val="32"/>
          <w:fitText w:val="1600" w:id="200887491"/>
        </w:rPr>
        <w:t>项目名</w:t>
      </w:r>
      <w:r>
        <w:rPr>
          <w:rFonts w:hint="default" w:ascii="Tahoma" w:hAnsi="Tahoma" w:eastAsia="宋体" w:cstheme="minorBidi"/>
          <w:b/>
          <w:bCs/>
          <w:spacing w:val="1"/>
          <w:kern w:val="0"/>
          <w:sz w:val="32"/>
          <w:szCs w:val="32"/>
          <w:fitText w:val="1600" w:id="200887491"/>
        </w:rPr>
        <w:t>称</w:t>
      </w:r>
      <w:r>
        <w:rPr>
          <w:rFonts w:hint="default" w:ascii="Tahoma" w:hAnsi="Tahoma" w:eastAsia="宋体" w:cstheme="minorBidi"/>
          <w:b/>
          <w:bCs/>
          <w:spacing w:val="0"/>
          <w:kern w:val="0"/>
          <w:sz w:val="32"/>
          <w:szCs w:val="32"/>
        </w:rPr>
        <w:t>：</w:t>
      </w:r>
    </w:p>
    <w:p w14:paraId="077A5AAF">
      <w:pPr>
        <w:keepNext w:val="0"/>
        <w:keepLines w:val="0"/>
        <w:pageBreakBefore w:val="0"/>
        <w:widowControl/>
        <w:kinsoku/>
        <w:wordWrap/>
        <w:overflowPunct/>
        <w:topLinePunct w:val="0"/>
        <w:autoSpaceDE/>
        <w:autoSpaceDN/>
        <w:bidi w:val="0"/>
        <w:adjustRightInd/>
        <w:snapToGrid/>
        <w:spacing w:afterAutospacing="0" w:line="360" w:lineRule="auto"/>
        <w:ind w:left="0"/>
        <w:textAlignment w:val="auto"/>
        <w:rPr>
          <w:rFonts w:hint="default" w:ascii="Tahoma" w:hAnsi="Tahoma" w:eastAsia="宋体" w:cstheme="minorBidi"/>
          <w:b/>
          <w:bCs/>
          <w:spacing w:val="0"/>
          <w:kern w:val="0"/>
          <w:sz w:val="32"/>
          <w:szCs w:val="32"/>
        </w:rPr>
      </w:pPr>
      <w:r>
        <w:rPr>
          <w:rFonts w:hint="default" w:ascii="Tahoma" w:hAnsi="Tahoma" w:eastAsia="宋体" w:cstheme="minorBidi"/>
          <w:b/>
          <w:bCs/>
          <w:spacing w:val="53"/>
          <w:kern w:val="0"/>
          <w:sz w:val="32"/>
          <w:szCs w:val="32"/>
          <w:fitText w:val="1600" w:id="258952344"/>
        </w:rPr>
        <w:t>项目编</w:t>
      </w:r>
      <w:r>
        <w:rPr>
          <w:rFonts w:hint="default" w:ascii="Tahoma" w:hAnsi="Tahoma" w:eastAsia="宋体" w:cstheme="minorBidi"/>
          <w:b/>
          <w:bCs/>
          <w:spacing w:val="1"/>
          <w:kern w:val="0"/>
          <w:sz w:val="32"/>
          <w:szCs w:val="32"/>
          <w:fitText w:val="1600" w:id="258952344"/>
        </w:rPr>
        <w:t>号</w:t>
      </w:r>
      <w:r>
        <w:rPr>
          <w:rFonts w:hint="default" w:ascii="Tahoma" w:hAnsi="Tahoma" w:eastAsia="宋体" w:cstheme="minorBidi"/>
          <w:b/>
          <w:bCs/>
          <w:spacing w:val="0"/>
          <w:kern w:val="0"/>
          <w:sz w:val="32"/>
          <w:szCs w:val="32"/>
        </w:rPr>
        <w:t>：</w:t>
      </w:r>
    </w:p>
    <w:p w14:paraId="67FA8290">
      <w:pPr>
        <w:keepNext w:val="0"/>
        <w:keepLines w:val="0"/>
        <w:pageBreakBefore w:val="0"/>
        <w:widowControl/>
        <w:kinsoku/>
        <w:wordWrap/>
        <w:overflowPunct/>
        <w:topLinePunct w:val="0"/>
        <w:autoSpaceDE/>
        <w:autoSpaceDN/>
        <w:bidi w:val="0"/>
        <w:adjustRightInd/>
        <w:snapToGrid/>
        <w:spacing w:afterAutospacing="0" w:line="360" w:lineRule="auto"/>
        <w:ind w:left="0"/>
        <w:textAlignment w:val="auto"/>
        <w:rPr>
          <w:rFonts w:hint="default" w:ascii="Tahoma" w:hAnsi="Tahoma" w:eastAsia="宋体" w:cstheme="minorBidi"/>
          <w:b/>
          <w:bCs/>
          <w:spacing w:val="0"/>
          <w:kern w:val="0"/>
          <w:sz w:val="32"/>
          <w:szCs w:val="32"/>
        </w:rPr>
      </w:pPr>
      <w:r>
        <w:rPr>
          <w:rFonts w:hint="default" w:ascii="Tahoma" w:hAnsi="Tahoma" w:eastAsia="宋体" w:cstheme="minorBidi"/>
          <w:b/>
          <w:bCs/>
          <w:spacing w:val="0"/>
          <w:w w:val="100"/>
          <w:kern w:val="0"/>
          <w:sz w:val="32"/>
          <w:szCs w:val="32"/>
        </w:rPr>
        <w:t>包组号（如有）：</w:t>
      </w:r>
    </w:p>
    <w:p w14:paraId="3E06AAED">
      <w:pPr>
        <w:keepNext w:val="0"/>
        <w:keepLines w:val="0"/>
        <w:pageBreakBefore w:val="0"/>
        <w:widowControl/>
        <w:kinsoku/>
        <w:wordWrap/>
        <w:overflowPunct/>
        <w:topLinePunct w:val="0"/>
        <w:autoSpaceDE/>
        <w:autoSpaceDN/>
        <w:bidi w:val="0"/>
        <w:adjustRightInd/>
        <w:snapToGrid/>
        <w:spacing w:afterAutospacing="0" w:line="360" w:lineRule="auto"/>
        <w:ind w:left="0"/>
        <w:textAlignment w:val="auto"/>
        <w:rPr>
          <w:rFonts w:hint="default" w:ascii="Tahoma" w:hAnsi="Tahoma" w:eastAsia="宋体" w:cstheme="minorBidi"/>
          <w:b/>
          <w:bCs/>
          <w:spacing w:val="0"/>
          <w:kern w:val="0"/>
          <w:sz w:val="32"/>
          <w:szCs w:val="32"/>
        </w:rPr>
      </w:pPr>
      <w:r>
        <w:rPr>
          <w:rFonts w:hint="default" w:ascii="Tahoma" w:hAnsi="Tahoma" w:eastAsia="宋体" w:cstheme="minorBidi"/>
          <w:b/>
          <w:bCs/>
          <w:spacing w:val="0"/>
          <w:w w:val="100"/>
          <w:kern w:val="0"/>
          <w:sz w:val="32"/>
          <w:szCs w:val="32"/>
        </w:rPr>
        <w:t>投标人名称：</w:t>
      </w:r>
    </w:p>
    <w:p w14:paraId="04440C1D">
      <w:pPr>
        <w:keepNext w:val="0"/>
        <w:keepLines w:val="0"/>
        <w:pageBreakBefore w:val="0"/>
        <w:widowControl/>
        <w:kinsoku/>
        <w:wordWrap/>
        <w:overflowPunct/>
        <w:topLinePunct w:val="0"/>
        <w:autoSpaceDE/>
        <w:autoSpaceDN/>
        <w:bidi w:val="0"/>
        <w:adjustRightInd/>
        <w:snapToGrid/>
        <w:spacing w:afterAutospacing="0" w:line="360" w:lineRule="auto"/>
        <w:ind w:left="0"/>
        <w:textAlignment w:val="auto"/>
        <w:rPr>
          <w:rFonts w:hint="default" w:ascii="Tahoma" w:hAnsi="Tahoma" w:eastAsia="宋体" w:cstheme="minorBidi"/>
          <w:b/>
          <w:bCs/>
          <w:spacing w:val="0"/>
          <w:kern w:val="0"/>
          <w:sz w:val="32"/>
          <w:szCs w:val="32"/>
        </w:rPr>
      </w:pPr>
      <w:r>
        <w:rPr>
          <w:rFonts w:hint="default" w:ascii="Tahoma" w:hAnsi="Tahoma" w:eastAsia="宋体" w:cstheme="minorBidi"/>
          <w:b/>
          <w:bCs/>
          <w:spacing w:val="32"/>
          <w:kern w:val="0"/>
          <w:sz w:val="32"/>
          <w:szCs w:val="32"/>
          <w:fitText w:val="1600" w:id="1044581742"/>
        </w:rPr>
        <w:t>日</w:t>
      </w:r>
      <w:r>
        <w:rPr>
          <w:rFonts w:hint="eastAsia" w:eastAsia="宋体" w:cstheme="minorBidi"/>
          <w:b/>
          <w:bCs/>
          <w:spacing w:val="32"/>
          <w:kern w:val="0"/>
          <w:sz w:val="32"/>
          <w:szCs w:val="32"/>
          <w:fitText w:val="1600" w:id="1044581742"/>
          <w:lang w:val="en-US" w:eastAsia="zh-CN"/>
        </w:rPr>
        <w:t xml:space="preserve">   </w:t>
      </w:r>
      <w:r>
        <w:rPr>
          <w:rFonts w:hint="default" w:ascii="Tahoma" w:hAnsi="Tahoma" w:eastAsia="宋体" w:cstheme="minorBidi"/>
          <w:b/>
          <w:bCs/>
          <w:spacing w:val="32"/>
          <w:kern w:val="0"/>
          <w:sz w:val="32"/>
          <w:szCs w:val="32"/>
          <w:fitText w:val="1600" w:id="1044581742"/>
        </w:rPr>
        <w:t xml:space="preserve"> </w:t>
      </w:r>
      <w:r>
        <w:rPr>
          <w:rFonts w:hint="default" w:ascii="Tahoma" w:hAnsi="Tahoma" w:eastAsia="宋体" w:cstheme="minorBidi"/>
          <w:b/>
          <w:bCs/>
          <w:spacing w:val="0"/>
          <w:kern w:val="0"/>
          <w:sz w:val="32"/>
          <w:szCs w:val="32"/>
          <w:fitText w:val="1600" w:id="1044581742"/>
        </w:rPr>
        <w:t>期</w:t>
      </w:r>
      <w:r>
        <w:rPr>
          <w:rFonts w:hint="default" w:ascii="Tahoma" w:hAnsi="Tahoma" w:eastAsia="宋体" w:cstheme="minorBidi"/>
          <w:b/>
          <w:bCs/>
          <w:spacing w:val="0"/>
          <w:kern w:val="0"/>
          <w:sz w:val="32"/>
          <w:szCs w:val="32"/>
        </w:rPr>
        <w:t>：</w:t>
      </w:r>
    </w:p>
    <w:p w14:paraId="3CF79409">
      <w:pPr>
        <w:rPr>
          <w:color w:val="auto"/>
          <w:highlight w:val="none"/>
        </w:rPr>
      </w:pPr>
    </w:p>
    <w:p w14:paraId="22F65BDC">
      <w:pPr>
        <w:rPr>
          <w:rFonts w:ascii="宋体" w:hAnsi="宋体"/>
          <w:color w:val="auto"/>
          <w:szCs w:val="21"/>
          <w:highlight w:val="none"/>
        </w:rPr>
      </w:pPr>
      <w:r>
        <w:rPr>
          <w:rFonts w:hint="eastAsia" w:ascii="宋体" w:hAnsi="宋体"/>
          <w:color w:val="auto"/>
          <w:szCs w:val="21"/>
          <w:highlight w:val="none"/>
        </w:rPr>
        <w:br w:type="page"/>
      </w:r>
    </w:p>
    <w:p w14:paraId="239535B5">
      <w:pPr>
        <w:pStyle w:val="8"/>
        <w:widowControl w:val="0"/>
        <w:overflowPunct w:val="0"/>
        <w:spacing w:line="240" w:lineRule="auto"/>
        <w:rPr>
          <w:rFonts w:ascii="宋体" w:hAnsi="宋体"/>
          <w:color w:val="auto"/>
          <w:sz w:val="21"/>
          <w:szCs w:val="21"/>
          <w:highlight w:val="none"/>
        </w:rPr>
      </w:pPr>
      <w:bookmarkStart w:id="202" w:name="_Toc23110"/>
      <w:bookmarkStart w:id="203" w:name="_Toc1232"/>
      <w:r>
        <w:rPr>
          <w:rFonts w:hint="eastAsia" w:ascii="宋体" w:hAnsi="宋体"/>
          <w:color w:val="auto"/>
          <w:sz w:val="21"/>
          <w:szCs w:val="21"/>
          <w:highlight w:val="none"/>
        </w:rPr>
        <w:t>附件2.开标一览表格式</w:t>
      </w:r>
      <w:bookmarkEnd w:id="202"/>
      <w:bookmarkEnd w:id="203"/>
    </w:p>
    <w:p w14:paraId="3ED6B946">
      <w:pPr>
        <w:jc w:val="center"/>
        <w:rPr>
          <w:rFonts w:ascii="黑体" w:eastAsia="黑体"/>
          <w:color w:val="auto"/>
          <w:sz w:val="32"/>
          <w:szCs w:val="32"/>
          <w:highlight w:val="none"/>
        </w:rPr>
      </w:pPr>
      <w:r>
        <w:rPr>
          <w:rFonts w:hint="eastAsia" w:ascii="黑体" w:eastAsia="黑体"/>
          <w:color w:val="auto"/>
          <w:sz w:val="32"/>
          <w:szCs w:val="32"/>
          <w:highlight w:val="none"/>
        </w:rPr>
        <w:t>开标一览表</w:t>
      </w:r>
    </w:p>
    <w:p w14:paraId="634EBFA3">
      <w:pPr>
        <w:rPr>
          <w:color w:val="auto"/>
          <w:highlight w:val="none"/>
        </w:rPr>
      </w:pPr>
    </w:p>
    <w:p w14:paraId="4353CD40">
      <w:pPr>
        <w:rPr>
          <w:rFonts w:ascii="宋体" w:hAnsi="宋体"/>
          <w:color w:val="auto"/>
          <w:szCs w:val="21"/>
          <w:highlight w:val="none"/>
        </w:rPr>
      </w:pPr>
      <w:r>
        <w:rPr>
          <w:rFonts w:hint="eastAsia" w:ascii="宋体" w:hAnsi="宋体"/>
          <w:color w:val="auto"/>
          <w:szCs w:val="21"/>
          <w:highlight w:val="none"/>
        </w:rPr>
        <w:t>投标人名称：</w:t>
      </w:r>
    </w:p>
    <w:p w14:paraId="719060A3">
      <w:pPr>
        <w:rPr>
          <w:color w:val="auto"/>
          <w:highlight w:val="none"/>
        </w:rPr>
      </w:pPr>
      <w:r>
        <w:rPr>
          <w:rFonts w:hint="eastAsia" w:ascii="宋体" w:hAnsi="宋体"/>
          <w:color w:val="auto"/>
          <w:szCs w:val="21"/>
          <w:highlight w:val="none"/>
        </w:rPr>
        <w:t>采购项目编号：</w:t>
      </w:r>
    </w:p>
    <w:tbl>
      <w:tblPr>
        <w:tblStyle w:val="32"/>
        <w:tblW w:w="94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1408"/>
        <w:gridCol w:w="2273"/>
        <w:gridCol w:w="1039"/>
        <w:gridCol w:w="4004"/>
        <w:gridCol w:w="697"/>
      </w:tblGrid>
      <w:tr w14:paraId="0819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649" w:hRule="atLeast"/>
          <w:jc w:val="center"/>
        </w:trPr>
        <w:tc>
          <w:tcPr>
            <w:tcW w:w="1408" w:type="dxa"/>
            <w:vAlign w:val="center"/>
          </w:tcPr>
          <w:p w14:paraId="247E7C6B">
            <w:pPr>
              <w:snapToGrid/>
              <w:spacing w:line="240" w:lineRule="auto"/>
              <w:jc w:val="center"/>
              <w:rPr>
                <w:rFonts w:ascii="宋体" w:hAnsi="宋体" w:cs="宋体"/>
                <w:color w:val="auto"/>
                <w:kern w:val="28"/>
                <w:szCs w:val="21"/>
                <w:highlight w:val="none"/>
              </w:rPr>
            </w:pPr>
            <w:r>
              <w:rPr>
                <w:rFonts w:hint="eastAsia" w:ascii="宋体" w:hAnsi="宋体"/>
                <w:color w:val="auto"/>
                <w:szCs w:val="21"/>
                <w:highlight w:val="none"/>
              </w:rPr>
              <w:t>项目名称</w:t>
            </w:r>
          </w:p>
        </w:tc>
        <w:tc>
          <w:tcPr>
            <w:tcW w:w="2273" w:type="dxa"/>
            <w:vAlign w:val="center"/>
          </w:tcPr>
          <w:p w14:paraId="68198913">
            <w:pPr>
              <w:snapToGrid/>
              <w:spacing w:line="240" w:lineRule="auto"/>
              <w:jc w:val="center"/>
              <w:rPr>
                <w:rFonts w:ascii="宋体" w:hAnsi="宋体" w:cs="宋体"/>
                <w:color w:val="auto"/>
                <w:kern w:val="28"/>
                <w:szCs w:val="21"/>
                <w:highlight w:val="none"/>
              </w:rPr>
            </w:pPr>
            <w:r>
              <w:rPr>
                <w:rFonts w:hint="eastAsia" w:ascii="宋体" w:hAnsi="宋体" w:cs="宋体"/>
                <w:color w:val="auto"/>
                <w:kern w:val="28"/>
                <w:szCs w:val="21"/>
                <w:highlight w:val="none"/>
              </w:rPr>
              <w:t>含税投标总价（元）</w:t>
            </w:r>
          </w:p>
        </w:tc>
        <w:tc>
          <w:tcPr>
            <w:tcW w:w="1039" w:type="dxa"/>
            <w:vAlign w:val="center"/>
          </w:tcPr>
          <w:p w14:paraId="585C754F">
            <w:pPr>
              <w:snapToGrid/>
              <w:spacing w:line="240" w:lineRule="auto"/>
              <w:jc w:val="center"/>
              <w:rPr>
                <w:rFonts w:hint="eastAsia" w:ascii="宋体" w:hAnsi="宋体" w:eastAsia="宋体" w:cs="宋体"/>
                <w:color w:val="auto"/>
                <w:kern w:val="28"/>
                <w:szCs w:val="21"/>
                <w:highlight w:val="none"/>
                <w:lang w:val="en-US" w:eastAsia="zh-CN"/>
              </w:rPr>
            </w:pPr>
            <w:r>
              <w:rPr>
                <w:rFonts w:hint="eastAsia" w:ascii="宋体" w:hAnsi="宋体" w:cs="宋体"/>
                <w:color w:val="auto"/>
                <w:kern w:val="28"/>
                <w:szCs w:val="21"/>
                <w:highlight w:val="none"/>
                <w:lang w:val="en-US" w:eastAsia="zh-CN"/>
              </w:rPr>
              <w:t>税率</w:t>
            </w:r>
          </w:p>
        </w:tc>
        <w:tc>
          <w:tcPr>
            <w:tcW w:w="4004" w:type="dxa"/>
            <w:vAlign w:val="center"/>
          </w:tcPr>
          <w:p w14:paraId="383E240D">
            <w:pPr>
              <w:snapToGrid/>
              <w:spacing w:line="240" w:lineRule="auto"/>
              <w:jc w:val="center"/>
              <w:rPr>
                <w:rFonts w:ascii="宋体" w:hAnsi="宋体" w:cs="宋体"/>
                <w:color w:val="auto"/>
                <w:kern w:val="28"/>
                <w:szCs w:val="21"/>
                <w:highlight w:val="none"/>
              </w:rPr>
            </w:pP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服务周期</w:t>
            </w:r>
          </w:p>
        </w:tc>
        <w:tc>
          <w:tcPr>
            <w:tcW w:w="697" w:type="dxa"/>
            <w:vAlign w:val="center"/>
          </w:tcPr>
          <w:p w14:paraId="6CC176E1">
            <w:pPr>
              <w:snapToGrid/>
              <w:spacing w:line="240" w:lineRule="auto"/>
              <w:jc w:val="center"/>
              <w:rPr>
                <w:rFonts w:ascii="宋体" w:hAnsi="宋体" w:cs="宋体"/>
                <w:color w:val="auto"/>
                <w:kern w:val="28"/>
                <w:szCs w:val="21"/>
                <w:highlight w:val="none"/>
              </w:rPr>
            </w:pPr>
            <w:r>
              <w:rPr>
                <w:rFonts w:hint="eastAsia" w:ascii="宋体" w:hAnsi="宋体" w:cs="宋体"/>
                <w:color w:val="auto"/>
                <w:kern w:val="28"/>
                <w:szCs w:val="21"/>
                <w:highlight w:val="none"/>
              </w:rPr>
              <w:t>备注</w:t>
            </w:r>
          </w:p>
        </w:tc>
      </w:tr>
      <w:tr w14:paraId="4755E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167" w:hRule="atLeast"/>
          <w:jc w:val="center"/>
        </w:trPr>
        <w:tc>
          <w:tcPr>
            <w:tcW w:w="1408" w:type="dxa"/>
            <w:vAlign w:val="center"/>
          </w:tcPr>
          <w:p w14:paraId="19073622">
            <w:pPr>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麻涌餐厨项目预处理系统提效工程环保技术服务项目（重新采购）</w:t>
            </w:r>
          </w:p>
        </w:tc>
        <w:tc>
          <w:tcPr>
            <w:tcW w:w="2273" w:type="dxa"/>
            <w:vAlign w:val="center"/>
          </w:tcPr>
          <w:p w14:paraId="10A9A98C">
            <w:pPr>
              <w:spacing w:line="360" w:lineRule="auto"/>
              <w:jc w:val="both"/>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大写：</w:t>
            </w:r>
          </w:p>
          <w:p w14:paraId="62EEDB6B">
            <w:pPr>
              <w:spacing w:line="360" w:lineRule="auto"/>
              <w:jc w:val="both"/>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小写：</w:t>
            </w:r>
          </w:p>
        </w:tc>
        <w:tc>
          <w:tcPr>
            <w:tcW w:w="1039" w:type="dxa"/>
            <w:vAlign w:val="center"/>
          </w:tcPr>
          <w:p w14:paraId="6E5B3C5D">
            <w:pPr>
              <w:pStyle w:val="69"/>
              <w:spacing w:line="360" w:lineRule="auto"/>
              <w:jc w:val="center"/>
              <w:rPr>
                <w:rFonts w:hint="eastAsia" w:hAnsi="宋体" w:eastAsia="宋体"/>
                <w:color w:val="auto"/>
                <w:sz w:val="21"/>
                <w:szCs w:val="21"/>
                <w:highlight w:val="none"/>
                <w:lang w:val="en-US" w:eastAsia="zh-CN"/>
              </w:rPr>
            </w:pPr>
            <w:r>
              <w:rPr>
                <w:rFonts w:hint="eastAsia" w:hAnsi="宋体"/>
                <w:color w:val="auto"/>
                <w:sz w:val="21"/>
                <w:szCs w:val="21"/>
                <w:highlight w:val="none"/>
                <w:lang w:val="en-US" w:eastAsia="zh-CN"/>
              </w:rPr>
              <w:t xml:space="preserve">     %</w:t>
            </w:r>
          </w:p>
        </w:tc>
        <w:tc>
          <w:tcPr>
            <w:tcW w:w="4004" w:type="dxa"/>
            <w:vAlign w:val="center"/>
          </w:tcPr>
          <w:p w14:paraId="764F6EBC">
            <w:pPr>
              <w:pStyle w:val="13"/>
              <w:wordWrap w:val="0"/>
              <w:snapToGrid/>
              <w:spacing w:line="30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（一）</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环境影响评价服务</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期</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zCs w:val="21"/>
                <w:highlight w:val="none"/>
                <w:u w:val="single"/>
                <w:lang w:val="en-US" w:eastAsia="zh-CN"/>
                <w14:textFill>
                  <w14:solidFill>
                    <w14:schemeClr w14:val="tx1"/>
                  </w14:solidFill>
                </w14:textFill>
              </w:rPr>
              <w:t>个日历日</w:t>
            </w:r>
            <w:r>
              <w:rPr>
                <w:rFonts w:hint="eastAsia" w:ascii="宋体" w:hAnsi="宋体" w:eastAsia="宋体" w:cs="宋体"/>
                <w:color w:val="000000" w:themeColor="text1"/>
                <w:szCs w:val="21"/>
                <w:highlight w:val="none"/>
                <w14:textFill>
                  <w14:solidFill>
                    <w14:schemeClr w14:val="tx1"/>
                  </w14:solidFill>
                </w14:textFill>
              </w:rPr>
              <w:t>内取得项目环评批复。</w:t>
            </w:r>
          </w:p>
          <w:p w14:paraId="6ACB4721">
            <w:pPr>
              <w:pStyle w:val="13"/>
              <w:wordWrap w:val="0"/>
              <w:snapToGrid/>
              <w:spacing w:line="30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（二）</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突发环境事件应急预案编制及备案服务期</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项目进入调试前</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完成应急预案</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编制及</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备案。</w:t>
            </w:r>
          </w:p>
          <w:p w14:paraId="37A8560F">
            <w:pPr>
              <w:pStyle w:val="69"/>
              <w:wordWrap w:val="0"/>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000000" w:themeColor="text1"/>
                <w:sz w:val="21"/>
                <w:szCs w:val="21"/>
                <w:highlight w:val="none"/>
                <w14:textFill>
                  <w14:solidFill>
                    <w14:schemeClr w14:val="tx1"/>
                  </w14:solidFill>
                </w14:textFill>
              </w:rPr>
              <w:t>（三）竣工环境保护验收服务期：项目进入调试验收阶段后，</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hAnsi="宋体" w:cs="宋体"/>
                <w:color w:val="000000" w:themeColor="text1"/>
                <w:sz w:val="21"/>
                <w:szCs w:val="21"/>
                <w:highlight w:val="none"/>
                <w:u w:val="single"/>
                <w:lang w:val="en-US" w:eastAsia="zh-CN"/>
                <w14:textFill>
                  <w14:solidFill>
                    <w14:schemeClr w14:val="tx1"/>
                  </w14:solidFill>
                </w14:textFill>
              </w:rPr>
              <w:t>个日历日</w:t>
            </w:r>
            <w:r>
              <w:rPr>
                <w:rFonts w:hint="eastAsia" w:ascii="宋体" w:hAnsi="宋体" w:eastAsia="宋体" w:cs="宋体"/>
                <w:color w:val="000000" w:themeColor="text1"/>
                <w:sz w:val="21"/>
                <w:szCs w:val="21"/>
                <w:highlight w:val="none"/>
                <w14:textFill>
                  <w14:solidFill>
                    <w14:schemeClr w14:val="tx1"/>
                  </w14:solidFill>
                </w14:textFill>
              </w:rPr>
              <w:t>内取得专家验收意见。</w:t>
            </w:r>
          </w:p>
        </w:tc>
        <w:tc>
          <w:tcPr>
            <w:tcW w:w="697" w:type="dxa"/>
            <w:vAlign w:val="center"/>
          </w:tcPr>
          <w:p w14:paraId="3D551568">
            <w:pPr>
              <w:pStyle w:val="69"/>
              <w:spacing w:line="360" w:lineRule="auto"/>
              <w:jc w:val="center"/>
              <w:rPr>
                <w:rFonts w:hint="eastAsia" w:hAnsi="宋体" w:eastAsia="宋体"/>
                <w:color w:val="auto"/>
                <w:sz w:val="21"/>
                <w:szCs w:val="21"/>
                <w:highlight w:val="none"/>
                <w:lang w:eastAsia="zh-CN"/>
              </w:rPr>
            </w:pPr>
          </w:p>
        </w:tc>
      </w:tr>
    </w:tbl>
    <w:p w14:paraId="26F93798">
      <w:pPr>
        <w:rPr>
          <w:rFonts w:ascii="宋体" w:hAnsi="宋体"/>
          <w:color w:val="auto"/>
          <w:szCs w:val="21"/>
          <w:highlight w:val="none"/>
        </w:rPr>
      </w:pPr>
    </w:p>
    <w:p w14:paraId="072A172E">
      <w:pPr>
        <w:ind w:firstLine="359" w:firstLineChars="171"/>
        <w:rPr>
          <w:rFonts w:ascii="宋体" w:hAnsi="宋体"/>
          <w:color w:val="auto"/>
          <w:szCs w:val="21"/>
          <w:highlight w:val="none"/>
        </w:rPr>
      </w:pPr>
      <w:r>
        <w:rPr>
          <w:rFonts w:hint="eastAsia" w:ascii="宋体" w:hAnsi="宋体"/>
          <w:color w:val="auto"/>
          <w:szCs w:val="21"/>
          <w:highlight w:val="none"/>
        </w:rPr>
        <w:t>投标人代表签字：</w:t>
      </w:r>
    </w:p>
    <w:p w14:paraId="3A84353F">
      <w:pPr>
        <w:ind w:firstLine="359" w:firstLineChars="171"/>
        <w:rPr>
          <w:rFonts w:ascii="宋体" w:hAnsi="宋体"/>
          <w:color w:val="auto"/>
          <w:szCs w:val="21"/>
          <w:highlight w:val="none"/>
        </w:rPr>
      </w:pPr>
      <w:r>
        <w:rPr>
          <w:rFonts w:hint="eastAsia" w:ascii="宋体" w:hAnsi="宋体"/>
          <w:color w:val="auto"/>
          <w:szCs w:val="21"/>
          <w:highlight w:val="none"/>
        </w:rPr>
        <w:t>投标人盖章：</w:t>
      </w:r>
    </w:p>
    <w:p w14:paraId="095EAC55">
      <w:pPr>
        <w:ind w:firstLine="359" w:firstLineChars="171"/>
        <w:rPr>
          <w:rFonts w:ascii="宋体" w:hAnsi="宋体"/>
          <w:color w:val="auto"/>
          <w:szCs w:val="21"/>
          <w:highlight w:val="none"/>
        </w:rPr>
      </w:pPr>
      <w:r>
        <w:rPr>
          <w:rFonts w:hint="eastAsia" w:ascii="宋体" w:hAnsi="宋体"/>
          <w:color w:val="auto"/>
          <w:szCs w:val="21"/>
          <w:highlight w:val="none"/>
        </w:rPr>
        <w:t>日期：</w:t>
      </w:r>
    </w:p>
    <w:p w14:paraId="75331381">
      <w:pPr>
        <w:ind w:firstLine="359" w:firstLineChars="171"/>
        <w:rPr>
          <w:rFonts w:ascii="宋体" w:hAnsi="宋体"/>
          <w:color w:val="auto"/>
          <w:szCs w:val="21"/>
          <w:highlight w:val="none"/>
        </w:rPr>
      </w:pPr>
    </w:p>
    <w:p w14:paraId="3A4690C2">
      <w:pPr>
        <w:ind w:left="391" w:hanging="390" w:hangingChars="186"/>
        <w:rPr>
          <w:rFonts w:ascii="宋体" w:hAnsi="宋体"/>
          <w:color w:val="auto"/>
          <w:szCs w:val="21"/>
          <w:highlight w:val="none"/>
        </w:rPr>
      </w:pPr>
      <w:r>
        <w:rPr>
          <w:rFonts w:hint="eastAsia" w:ascii="宋体" w:hAnsi="宋体"/>
          <w:color w:val="auto"/>
          <w:szCs w:val="21"/>
          <w:highlight w:val="none"/>
        </w:rPr>
        <w:t xml:space="preserve">    注：</w:t>
      </w:r>
    </w:p>
    <w:p w14:paraId="2C11EA47">
      <w:pPr>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000000" w:themeColor="text1"/>
          <w:szCs w:val="21"/>
          <w14:textFill>
            <w14:solidFill>
              <w14:schemeClr w14:val="tx1"/>
            </w14:solidFill>
          </w14:textFill>
        </w:rPr>
        <w:t>投标总价栏须</w:t>
      </w:r>
      <w:r>
        <w:rPr>
          <w:rFonts w:ascii="宋体" w:hAnsi="宋体"/>
          <w:color w:val="000000" w:themeColor="text1"/>
          <w:szCs w:val="21"/>
          <w14:textFill>
            <w14:solidFill>
              <w14:schemeClr w14:val="tx1"/>
            </w14:solidFill>
          </w14:textFill>
        </w:rPr>
        <w:t>用</w:t>
      </w:r>
      <w:r>
        <w:rPr>
          <w:rFonts w:hint="eastAsia" w:ascii="宋体" w:hAnsi="宋体"/>
          <w:color w:val="000000" w:themeColor="text1"/>
          <w:szCs w:val="21"/>
          <w14:textFill>
            <w14:solidFill>
              <w14:schemeClr w14:val="tx1"/>
            </w14:solidFill>
          </w14:textFill>
        </w:rPr>
        <w:t>大写金额和小写金额两种方式</w:t>
      </w:r>
      <w:r>
        <w:rPr>
          <w:rFonts w:ascii="宋体" w:hAnsi="宋体"/>
          <w:color w:val="000000" w:themeColor="text1"/>
          <w:szCs w:val="21"/>
          <w14:textFill>
            <w14:solidFill>
              <w14:schemeClr w14:val="tx1"/>
            </w14:solidFill>
          </w14:textFill>
        </w:rPr>
        <w:t>表示的投标总价</w:t>
      </w:r>
      <w:r>
        <w:rPr>
          <w:rFonts w:hint="eastAsia" w:ascii="宋体" w:hAnsi="宋体"/>
          <w:color w:val="000000" w:themeColor="text1"/>
          <w:szCs w:val="21"/>
          <w14:textFill>
            <w14:solidFill>
              <w14:schemeClr w14:val="tx1"/>
            </w14:solidFill>
          </w14:textFill>
        </w:rPr>
        <w:t>，报价保留小数点后两位。投标总价大小写不一致，以大写为准。投标总价必须准确唯一且应包含采购文件要求的所有费用</w:t>
      </w:r>
      <w:r>
        <w:rPr>
          <w:rFonts w:hint="eastAsia" w:ascii="宋体" w:hAnsi="宋体"/>
          <w:color w:val="auto"/>
          <w:szCs w:val="21"/>
          <w:highlight w:val="none"/>
        </w:rPr>
        <w:t>。</w:t>
      </w:r>
    </w:p>
    <w:p w14:paraId="721F9F11">
      <w:pPr>
        <w:ind w:firstLine="420" w:firstLineChars="200"/>
        <w:rPr>
          <w:rFonts w:hint="default" w:ascii="宋体" w:hAnsi="宋体"/>
          <w:b/>
          <w:bCs/>
          <w:color w:val="auto"/>
          <w:szCs w:val="21"/>
          <w:highlight w:val="none"/>
          <w:lang w:val="en-US"/>
        </w:rPr>
      </w:pPr>
      <w:r>
        <w:rPr>
          <w:rFonts w:hint="eastAsia" w:ascii="宋体" w:hAnsi="宋体"/>
          <w:color w:val="auto"/>
          <w:szCs w:val="21"/>
          <w:highlight w:val="none"/>
        </w:rPr>
        <w:t>2、</w:t>
      </w:r>
      <w:r>
        <w:rPr>
          <w:rFonts w:hint="eastAsia" w:asciiTheme="minorEastAsia" w:hAnsiTheme="minorEastAsia" w:eastAsiaTheme="minorEastAsia" w:cstheme="minorEastAsia"/>
          <w:b/>
          <w:bCs/>
          <w:color w:val="000000" w:themeColor="text1"/>
          <w:szCs w:val="21"/>
          <w:highlight w:val="none"/>
          <w:lang w:val="en-US" w:eastAsia="zh-CN"/>
          <w14:textFill>
            <w14:solidFill>
              <w14:schemeClr w14:val="tx1"/>
            </w14:solidFill>
          </w14:textFill>
        </w:rPr>
        <w:t>服务周期不得超过第二部分采购需求“第一章 商务需求书”服务周期要求，否则作无效投标处理。</w:t>
      </w:r>
    </w:p>
    <w:p w14:paraId="25EDA7EC">
      <w:pPr>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3、</w:t>
      </w:r>
      <w:r>
        <w:rPr>
          <w:rFonts w:hint="eastAsia" w:ascii="宋体" w:hAnsi="宋体"/>
          <w:color w:val="000000" w:themeColor="text1"/>
          <w:szCs w:val="21"/>
          <w14:textFill>
            <w14:solidFill>
              <w14:schemeClr w14:val="tx1"/>
            </w14:solidFill>
          </w14:textFill>
        </w:rPr>
        <w:t>温馨提示：未按采购文件要求报价、填写开标一览表是导致投标人废标的常见问题，请投标人仔细填写，认真核对</w:t>
      </w:r>
      <w:r>
        <w:rPr>
          <w:rFonts w:hint="eastAsia" w:ascii="宋体" w:hAnsi="宋体"/>
          <w:color w:val="auto"/>
          <w:szCs w:val="21"/>
          <w:highlight w:val="none"/>
          <w:lang w:eastAsia="zh-CN"/>
        </w:rPr>
        <w:t>。</w:t>
      </w:r>
    </w:p>
    <w:p w14:paraId="2E3A397B">
      <w:pPr>
        <w:rPr>
          <w:rFonts w:hint="eastAsia" w:ascii="宋体" w:hAnsi="宋体"/>
          <w:color w:val="auto"/>
          <w:szCs w:val="21"/>
          <w:highlight w:val="none"/>
        </w:rPr>
      </w:pPr>
      <w:r>
        <w:rPr>
          <w:rFonts w:hint="eastAsia" w:ascii="宋体" w:hAnsi="宋体"/>
          <w:color w:val="auto"/>
          <w:szCs w:val="21"/>
          <w:highlight w:val="none"/>
        </w:rPr>
        <w:br w:type="page"/>
      </w:r>
    </w:p>
    <w:p w14:paraId="5D35833D">
      <w:pPr>
        <w:pStyle w:val="8"/>
        <w:widowControl w:val="0"/>
        <w:overflowPunct w:val="0"/>
        <w:spacing w:line="240" w:lineRule="auto"/>
        <w:rPr>
          <w:rFonts w:ascii="宋体" w:hAnsi="宋体"/>
          <w:color w:val="auto"/>
          <w:sz w:val="21"/>
          <w:szCs w:val="21"/>
          <w:highlight w:val="none"/>
        </w:rPr>
      </w:pPr>
      <w:bookmarkStart w:id="204" w:name="_Toc12548"/>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w:t>
      </w:r>
      <w:r>
        <w:rPr>
          <w:rFonts w:hint="eastAsia" w:ascii="宋体" w:hAnsi="宋体"/>
          <w:color w:val="000000" w:themeColor="text1"/>
          <w:sz w:val="21"/>
          <w:szCs w:val="21"/>
          <w14:textFill>
            <w14:solidFill>
              <w14:schemeClr w14:val="tx1"/>
            </w14:solidFill>
          </w14:textFill>
        </w:rPr>
        <w:t>报价明细表格式</w:t>
      </w:r>
      <w:bookmarkEnd w:id="204"/>
    </w:p>
    <w:p w14:paraId="2115954A">
      <w:pPr>
        <w:jc w:val="center"/>
        <w:rPr>
          <w:rFonts w:ascii="黑体" w:eastAsia="黑体"/>
          <w:color w:val="000000" w:themeColor="text1"/>
          <w:sz w:val="32"/>
          <w:szCs w:val="32"/>
          <w:highlight w:val="none"/>
          <w14:textFill>
            <w14:solidFill>
              <w14:schemeClr w14:val="tx1"/>
            </w14:solidFill>
          </w14:textFill>
        </w:rPr>
      </w:pPr>
      <w:bookmarkStart w:id="205" w:name="_Toc31062"/>
      <w:bookmarkStart w:id="206" w:name="_Toc31172"/>
      <w:r>
        <w:rPr>
          <w:rFonts w:hint="eastAsia" w:ascii="黑体" w:eastAsia="黑体"/>
          <w:color w:val="000000" w:themeColor="text1"/>
          <w:sz w:val="32"/>
          <w:szCs w:val="32"/>
          <w:highlight w:val="none"/>
          <w14:textFill>
            <w14:solidFill>
              <w14:schemeClr w14:val="tx1"/>
            </w14:solidFill>
          </w14:textFill>
        </w:rPr>
        <w:t>报价明细表</w:t>
      </w:r>
      <w:bookmarkEnd w:id="205"/>
      <w:bookmarkEnd w:id="206"/>
    </w:p>
    <w:tbl>
      <w:tblPr>
        <w:tblStyle w:val="32"/>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27"/>
        <w:gridCol w:w="1212"/>
        <w:gridCol w:w="1663"/>
        <w:gridCol w:w="3477"/>
        <w:gridCol w:w="2144"/>
      </w:tblGrid>
      <w:tr w14:paraId="7F432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blHeader/>
        </w:trPr>
        <w:tc>
          <w:tcPr>
            <w:tcW w:w="394" w:type="pct"/>
            <w:tcBorders>
              <w:top w:val="single" w:color="000000" w:sz="4" w:space="0"/>
              <w:left w:val="single" w:color="000000" w:sz="4" w:space="0"/>
              <w:bottom w:val="single" w:color="000000" w:sz="4" w:space="0"/>
              <w:right w:val="single" w:color="000000" w:sz="4" w:space="0"/>
            </w:tcBorders>
            <w:noWrap w:val="0"/>
            <w:vAlign w:val="center"/>
          </w:tcPr>
          <w:p w14:paraId="636A7C03">
            <w:pPr>
              <w:pStyle w:val="99"/>
              <w:keepNext w:val="0"/>
              <w:keepLines w:val="0"/>
              <w:pageBreakBefore w:val="0"/>
              <w:widowControl/>
              <w:kinsoku/>
              <w:wordWrap/>
              <w:overflowPunct/>
              <w:topLinePunct w:val="0"/>
              <w:autoSpaceDE/>
              <w:autoSpaceDN/>
              <w:bidi w:val="0"/>
              <w:adjustRightInd w:val="0"/>
              <w:snapToGrid/>
              <w:textAlignment w:val="center"/>
              <w:rPr>
                <w:rFonts w:hint="eastAsia"/>
                <w:b/>
                <w:bCs/>
                <w:sz w:val="24"/>
                <w:szCs w:val="24"/>
              </w:rPr>
            </w:pPr>
            <w:r>
              <w:rPr>
                <w:rFonts w:hint="eastAsia"/>
                <w:b/>
                <w:bCs/>
                <w:sz w:val="24"/>
                <w:szCs w:val="24"/>
                <w:lang w:val="en-US" w:eastAsia="zh-CN"/>
              </w:rPr>
              <w:t>序号</w:t>
            </w:r>
          </w:p>
        </w:tc>
        <w:tc>
          <w:tcPr>
            <w:tcW w:w="657" w:type="pct"/>
            <w:tcBorders>
              <w:top w:val="single" w:color="000000" w:sz="4" w:space="0"/>
              <w:left w:val="single" w:color="000000" w:sz="4" w:space="0"/>
              <w:bottom w:val="single" w:color="000000" w:sz="4" w:space="0"/>
              <w:right w:val="single" w:color="000000" w:sz="4" w:space="0"/>
            </w:tcBorders>
            <w:noWrap/>
            <w:vAlign w:val="center"/>
          </w:tcPr>
          <w:p w14:paraId="3A524808">
            <w:pPr>
              <w:pStyle w:val="99"/>
              <w:keepNext w:val="0"/>
              <w:keepLines w:val="0"/>
              <w:pageBreakBefore w:val="0"/>
              <w:widowControl/>
              <w:kinsoku/>
              <w:wordWrap/>
              <w:overflowPunct/>
              <w:topLinePunct w:val="0"/>
              <w:autoSpaceDE/>
              <w:autoSpaceDN/>
              <w:bidi w:val="0"/>
              <w:adjustRightInd w:val="0"/>
              <w:snapToGrid/>
              <w:textAlignment w:val="center"/>
              <w:rPr>
                <w:rFonts w:hint="eastAsia"/>
                <w:b/>
                <w:bCs/>
                <w:sz w:val="24"/>
                <w:szCs w:val="24"/>
              </w:rPr>
            </w:pPr>
            <w:r>
              <w:rPr>
                <w:rFonts w:hint="eastAsia"/>
                <w:b/>
                <w:bCs/>
                <w:sz w:val="24"/>
                <w:szCs w:val="24"/>
                <w:lang w:val="en-US" w:eastAsia="zh-CN"/>
              </w:rPr>
              <w:t>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6E8E3F1B">
            <w:pPr>
              <w:pStyle w:val="99"/>
              <w:keepNext w:val="0"/>
              <w:keepLines w:val="0"/>
              <w:pageBreakBefore w:val="0"/>
              <w:widowControl/>
              <w:kinsoku/>
              <w:wordWrap/>
              <w:overflowPunct/>
              <w:topLinePunct w:val="0"/>
              <w:autoSpaceDE/>
              <w:autoSpaceDN/>
              <w:bidi w:val="0"/>
              <w:adjustRightInd w:val="0"/>
              <w:snapToGrid/>
              <w:textAlignment w:val="center"/>
              <w:rPr>
                <w:rFonts w:hint="eastAsia"/>
                <w:b/>
                <w:bCs/>
                <w:sz w:val="24"/>
                <w:szCs w:val="24"/>
              </w:rPr>
            </w:pPr>
            <w:r>
              <w:rPr>
                <w:rFonts w:hint="eastAsia"/>
                <w:b/>
                <w:bCs/>
                <w:sz w:val="24"/>
                <w:szCs w:val="24"/>
                <w:lang w:val="en-US" w:eastAsia="zh-CN"/>
              </w:rPr>
              <w:t>计价内容</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140FFF89">
            <w:pPr>
              <w:pStyle w:val="99"/>
              <w:keepNext w:val="0"/>
              <w:keepLines w:val="0"/>
              <w:pageBreakBefore w:val="0"/>
              <w:widowControl/>
              <w:kinsoku/>
              <w:wordWrap/>
              <w:overflowPunct/>
              <w:topLinePunct w:val="0"/>
              <w:autoSpaceDE/>
              <w:autoSpaceDN/>
              <w:bidi w:val="0"/>
              <w:adjustRightInd w:val="0"/>
              <w:snapToGrid/>
              <w:textAlignment w:val="center"/>
              <w:rPr>
                <w:rFonts w:hint="eastAsia"/>
                <w:b/>
                <w:bCs/>
                <w:sz w:val="24"/>
                <w:szCs w:val="24"/>
              </w:rPr>
            </w:pPr>
            <w:r>
              <w:rPr>
                <w:rFonts w:hint="eastAsia"/>
                <w:b/>
                <w:bCs/>
                <w:sz w:val="24"/>
                <w:szCs w:val="24"/>
                <w:lang w:val="en-US" w:eastAsia="zh-CN"/>
              </w:rPr>
              <w:t>费用（万元）</w:t>
            </w: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68E01677">
            <w:pPr>
              <w:pStyle w:val="99"/>
              <w:keepNext w:val="0"/>
              <w:keepLines w:val="0"/>
              <w:pageBreakBefore w:val="0"/>
              <w:widowControl/>
              <w:kinsoku/>
              <w:wordWrap/>
              <w:overflowPunct/>
              <w:topLinePunct w:val="0"/>
              <w:autoSpaceDE/>
              <w:autoSpaceDN/>
              <w:bidi w:val="0"/>
              <w:adjustRightInd w:val="0"/>
              <w:snapToGrid/>
              <w:textAlignment w:val="center"/>
              <w:rPr>
                <w:rFonts w:hint="eastAsia"/>
                <w:b/>
                <w:bCs/>
                <w:sz w:val="24"/>
                <w:szCs w:val="24"/>
              </w:rPr>
            </w:pPr>
            <w:r>
              <w:rPr>
                <w:rFonts w:hint="eastAsia"/>
                <w:b/>
                <w:bCs/>
                <w:sz w:val="24"/>
                <w:szCs w:val="24"/>
                <w:lang w:val="en-US" w:eastAsia="zh-CN"/>
              </w:rPr>
              <w:t>备注</w:t>
            </w:r>
          </w:p>
        </w:tc>
      </w:tr>
      <w:tr w14:paraId="0662C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restart"/>
            <w:tcBorders>
              <w:top w:val="single" w:color="000000" w:sz="4" w:space="0"/>
              <w:left w:val="single" w:color="000000" w:sz="4" w:space="0"/>
              <w:bottom w:val="single" w:color="000000" w:sz="4" w:space="0"/>
              <w:right w:val="single" w:color="000000" w:sz="4" w:space="0"/>
            </w:tcBorders>
            <w:noWrap/>
            <w:vAlign w:val="center"/>
          </w:tcPr>
          <w:p w14:paraId="7525B92E">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1</w:t>
            </w:r>
          </w:p>
        </w:tc>
        <w:tc>
          <w:tcPr>
            <w:tcW w:w="657" w:type="pct"/>
            <w:vMerge w:val="restart"/>
            <w:tcBorders>
              <w:top w:val="single" w:color="000000" w:sz="4" w:space="0"/>
              <w:left w:val="single" w:color="000000" w:sz="4" w:space="0"/>
              <w:bottom w:val="single" w:color="000000" w:sz="4" w:space="0"/>
              <w:right w:val="single" w:color="000000" w:sz="4" w:space="0"/>
            </w:tcBorders>
            <w:noWrap w:val="0"/>
            <w:vAlign w:val="center"/>
          </w:tcPr>
          <w:p w14:paraId="0A3BC1CD">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lang w:val="en-US"/>
              </w:rPr>
            </w:pPr>
            <w:r>
              <w:rPr>
                <w:rFonts w:hint="eastAsia" w:asciiTheme="minorEastAsia" w:hAnsiTheme="minorEastAsia" w:eastAsiaTheme="minorEastAsia" w:cstheme="minorEastAsia"/>
                <w:b/>
                <w:bCs/>
                <w:sz w:val="21"/>
                <w:szCs w:val="21"/>
                <w:lang w:val="en-US"/>
              </w:rPr>
              <w:t>环境影响评价服务</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03DEBFF0">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7EDC0E13">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769A7A75">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r>
      <w:tr w14:paraId="4A4E0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40507569">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B27979">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F97C58F">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50BC9CAD">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57C69AE5">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r>
      <w:tr w14:paraId="7E99B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02D1C454">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3FD7DD">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93726C1">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6883C0A5">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0C92A004">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r>
      <w:tr w14:paraId="58678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222D41C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CDDCDC">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2C22BA21">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eastAsia="zh-CN"/>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763EDBE4">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eastAsia="zh-CN"/>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63DC8B8F">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eastAsia="zh-CN"/>
              </w:rPr>
            </w:pPr>
          </w:p>
        </w:tc>
      </w:tr>
      <w:tr w14:paraId="3D8E7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71D3E823">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22890B">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6F6BECD7">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eastAsia="zh-CN"/>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79EF4A38">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eastAsia="zh-CN"/>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7CEC4175">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eastAsia="zh-CN"/>
              </w:rPr>
            </w:pPr>
          </w:p>
        </w:tc>
      </w:tr>
      <w:tr w14:paraId="3A340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1C540510">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759B03">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91F4332">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eastAsia="zh-CN"/>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4A152050">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eastAsia="zh-CN"/>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19E6B501">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eastAsia="zh-CN"/>
              </w:rPr>
            </w:pPr>
          </w:p>
        </w:tc>
      </w:tr>
      <w:tr w14:paraId="44D6D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5339B0DC">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EDF449">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69152A5">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6E82AECF">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0E52CCFE">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rPr>
            </w:pPr>
          </w:p>
        </w:tc>
      </w:tr>
      <w:tr w14:paraId="08049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1C295C0B">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706B33">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4725F35">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税费</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6E7DCAAA">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lang w:val="en-US"/>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5AB6CD4B">
            <w:pPr>
              <w:pStyle w:val="99"/>
              <w:keepNext w:val="0"/>
              <w:keepLines w:val="0"/>
              <w:pageBreakBefore w:val="0"/>
              <w:widowControl/>
              <w:kinsoku/>
              <w:wordWrap/>
              <w:overflowPunct/>
              <w:topLinePunct w:val="0"/>
              <w:autoSpaceDE/>
              <w:autoSpaceDN/>
              <w:bidi w:val="0"/>
              <w:adjustRightInd w:val="0"/>
              <w:snapToGrid w:val="0"/>
              <w:ind w:firstLine="0" w:firstLineChars="0"/>
              <w:textAlignment w:val="center"/>
              <w:rPr>
                <w:rFonts w:hint="eastAsia" w:asciiTheme="minorEastAsia" w:hAnsiTheme="minorEastAsia" w:eastAsiaTheme="minorEastAsia" w:cstheme="minorEastAsia"/>
                <w:sz w:val="21"/>
                <w:szCs w:val="21"/>
              </w:rPr>
            </w:pPr>
          </w:p>
        </w:tc>
      </w:tr>
      <w:tr w14:paraId="2380E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5000408C">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0A132F">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24183112">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小计</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580EFE60">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lang w:val="en-US"/>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50BBB24E">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36DA3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7E4821F7">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590CEE">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7B1F588">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优惠价</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0E189441">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lang w:val="en-US"/>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158D0774">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含税</w:t>
            </w:r>
          </w:p>
        </w:tc>
      </w:tr>
      <w:tr w14:paraId="0641B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restart"/>
            <w:tcBorders>
              <w:top w:val="single" w:color="000000" w:sz="4" w:space="0"/>
              <w:left w:val="single" w:color="000000" w:sz="4" w:space="0"/>
              <w:bottom w:val="single" w:color="000000" w:sz="4" w:space="0"/>
              <w:right w:val="single" w:color="000000" w:sz="4" w:space="0"/>
            </w:tcBorders>
            <w:noWrap/>
            <w:vAlign w:val="center"/>
          </w:tcPr>
          <w:p w14:paraId="11D8A702">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2</w:t>
            </w:r>
          </w:p>
        </w:tc>
        <w:tc>
          <w:tcPr>
            <w:tcW w:w="657" w:type="pct"/>
            <w:vMerge w:val="restart"/>
            <w:tcBorders>
              <w:top w:val="single" w:color="000000" w:sz="4" w:space="0"/>
              <w:left w:val="single" w:color="000000" w:sz="4" w:space="0"/>
              <w:bottom w:val="single" w:color="000000" w:sz="4" w:space="0"/>
              <w:right w:val="single" w:color="000000" w:sz="4" w:space="0"/>
            </w:tcBorders>
            <w:noWrap w:val="0"/>
            <w:vAlign w:val="center"/>
          </w:tcPr>
          <w:p w14:paraId="5ACF69AE">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lang w:val="en-US"/>
              </w:rPr>
            </w:pPr>
            <w:r>
              <w:rPr>
                <w:rFonts w:hint="eastAsia" w:asciiTheme="minorEastAsia" w:hAnsiTheme="minorEastAsia" w:eastAsiaTheme="minorEastAsia" w:cstheme="minorEastAsia"/>
                <w:b/>
                <w:bCs/>
                <w:sz w:val="21"/>
                <w:szCs w:val="21"/>
                <w:lang w:val="en-US" w:eastAsia="zh-CN"/>
              </w:rPr>
              <w:t>竣工环境保护验收服务</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4D081BE">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472FFD1C">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3F319374">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0758E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6EC3608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AB7872">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6FEAA5A9">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2EA7297C">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3666A8CD">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27C34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0AB7622E">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C93515">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41751ED">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55758AE0">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66D08251">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21884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3A3AAD12">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D41654">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077A2275">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618B027D">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lang w:val="en-US"/>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17BDD0CC">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26A66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75764E94">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9A7942">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0371E659">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3E9BFA0D">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6FB9EEE7">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3FB9A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43073B49">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39708B">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2E7A9DAB">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6AACE6AB">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60C80ACA">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6FFD1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2DE4B211">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EEC4D0">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75DFCC3">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493EF41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15333D61">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05F24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19E3D588">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7B33EF">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85DB488">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税费</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26567D4D">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lang w:val="en-US"/>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103A3D2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62CF3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3EAB0AED">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F59DBF">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61018A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小计</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1693B92A">
            <w:pPr>
              <w:pStyle w:val="99"/>
              <w:keepNext w:val="0"/>
              <w:keepLines w:val="0"/>
              <w:pageBreakBefore w:val="0"/>
              <w:widowControl/>
              <w:kinsoku/>
              <w:wordWrap/>
              <w:overflowPunct/>
              <w:topLinePunct w:val="0"/>
              <w:autoSpaceDE/>
              <w:autoSpaceDN/>
              <w:bidi w:val="0"/>
              <w:adjustRightInd w:val="0"/>
              <w:snapToGrid w:val="0"/>
              <w:jc w:val="center"/>
              <w:textAlignment w:val="center"/>
              <w:rPr>
                <w:rFonts w:hint="eastAsia" w:asciiTheme="minorEastAsia" w:hAnsiTheme="minorEastAsia" w:eastAsiaTheme="minorEastAsia" w:cstheme="minorEastAsia"/>
                <w:sz w:val="21"/>
                <w:szCs w:val="21"/>
                <w:lang w:val="en-US"/>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2B719455">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1F3B1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58C0751E">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CCCE04">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7E1E137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优惠价</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0E909C8B">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570CAB0C">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含税</w:t>
            </w:r>
          </w:p>
        </w:tc>
      </w:tr>
      <w:tr w14:paraId="705B1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restart"/>
            <w:tcBorders>
              <w:top w:val="single" w:color="000000" w:sz="4" w:space="0"/>
              <w:left w:val="single" w:color="000000" w:sz="4" w:space="0"/>
              <w:bottom w:val="single" w:color="000000" w:sz="4" w:space="0"/>
              <w:right w:val="single" w:color="000000" w:sz="4" w:space="0"/>
            </w:tcBorders>
            <w:noWrap/>
            <w:vAlign w:val="center"/>
          </w:tcPr>
          <w:p w14:paraId="0F17A0D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3</w:t>
            </w:r>
          </w:p>
        </w:tc>
        <w:tc>
          <w:tcPr>
            <w:tcW w:w="657" w:type="pct"/>
            <w:vMerge w:val="restart"/>
            <w:tcBorders>
              <w:top w:val="single" w:color="000000" w:sz="4" w:space="0"/>
              <w:left w:val="single" w:color="000000" w:sz="4" w:space="0"/>
              <w:bottom w:val="single" w:color="000000" w:sz="4" w:space="0"/>
              <w:right w:val="single" w:color="000000" w:sz="4" w:space="0"/>
            </w:tcBorders>
            <w:noWrap w:val="0"/>
            <w:vAlign w:val="center"/>
          </w:tcPr>
          <w:p w14:paraId="3E7C0E07">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lang w:val="en-US"/>
              </w:rPr>
            </w:pPr>
            <w:r>
              <w:rPr>
                <w:rFonts w:hint="eastAsia" w:asciiTheme="minorEastAsia" w:hAnsiTheme="minorEastAsia" w:eastAsiaTheme="minorEastAsia" w:cstheme="minorEastAsia"/>
                <w:b/>
                <w:bCs/>
                <w:sz w:val="21"/>
                <w:szCs w:val="21"/>
                <w:lang w:val="en-US" w:eastAsia="zh-CN"/>
              </w:rPr>
              <w:t>突发环境事件应急预案编制及备案服务</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61051B14">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4D933E7A">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lang w:val="en-US"/>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0874D0AE">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08D99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2EA2F7F5">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3C82E7">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7AF7B32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2F5D2EF0">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45797EB5">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4AA5B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5021EAA8">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04DD07">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0F7D287B">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3EAE6A34">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lang w:val="en-US"/>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71E8C7AA">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3FF37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64360CE1">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C56740">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60C0C8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4E27997C">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2BC46647">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52F07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5ADEFE5B">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611CBC">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04750DA6">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56FB8AEF">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3E05F977">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0B989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5D7CF78D">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3BBB99">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A34B385">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税费</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4921B73B">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lang w:val="en-US"/>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5C82FB54">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64ABE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5913409C">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A28737">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76F15B1">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小计</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341F726F">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3A656897">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sz w:val="21"/>
                <w:szCs w:val="21"/>
              </w:rPr>
            </w:pPr>
          </w:p>
        </w:tc>
      </w:tr>
      <w:tr w14:paraId="0B552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4" w:type="pct"/>
            <w:vMerge w:val="continue"/>
            <w:tcBorders>
              <w:top w:val="single" w:color="000000" w:sz="4" w:space="0"/>
              <w:left w:val="single" w:color="000000" w:sz="4" w:space="0"/>
              <w:bottom w:val="single" w:color="000000" w:sz="4" w:space="0"/>
              <w:right w:val="single" w:color="000000" w:sz="4" w:space="0"/>
            </w:tcBorders>
            <w:noWrap/>
            <w:vAlign w:val="center"/>
          </w:tcPr>
          <w:p w14:paraId="74276750">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6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4DB3A3">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038B7970">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优惠价</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6732AC30">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5E483E01">
            <w:pPr>
              <w:pStyle w:val="99"/>
              <w:keepNext w:val="0"/>
              <w:keepLines w:val="0"/>
              <w:pageBreakBefore w:val="0"/>
              <w:widowControl/>
              <w:kinsoku/>
              <w:wordWrap/>
              <w:overflowPunct/>
              <w:topLinePunct w:val="0"/>
              <w:autoSpaceDE/>
              <w:autoSpaceDN/>
              <w:bidi w:val="0"/>
              <w:adjustRightInd w:val="0"/>
              <w:snapToGrid w:val="0"/>
              <w:textAlignment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含税</w:t>
            </w:r>
          </w:p>
        </w:tc>
      </w:tr>
      <w:tr w14:paraId="75845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52" w:type="pct"/>
            <w:gridSpan w:val="3"/>
            <w:tcBorders>
              <w:top w:val="single" w:color="000000" w:sz="4" w:space="0"/>
              <w:left w:val="single" w:color="000000" w:sz="4" w:space="0"/>
              <w:bottom w:val="single" w:color="000000" w:sz="4" w:space="0"/>
              <w:right w:val="single" w:color="000000" w:sz="4" w:space="0"/>
            </w:tcBorders>
            <w:noWrap w:val="0"/>
            <w:vAlign w:val="center"/>
          </w:tcPr>
          <w:p w14:paraId="389989C7">
            <w:pPr>
              <w:pStyle w:val="99"/>
              <w:keepNext w:val="0"/>
              <w:keepLines w:val="0"/>
              <w:pageBreakBefore w:val="0"/>
              <w:widowControl/>
              <w:kinsoku/>
              <w:wordWrap/>
              <w:overflowPunct/>
              <w:topLinePunct w:val="0"/>
              <w:autoSpaceDE/>
              <w:autoSpaceDN/>
              <w:bidi w:val="0"/>
              <w:adjustRightInd w:val="0"/>
              <w:snapToGrid w:val="0"/>
              <w:textAlignment w:val="center"/>
              <w:rPr>
                <w:rFonts w:hint="eastAsia"/>
                <w:b/>
                <w:bCs/>
                <w:sz w:val="24"/>
                <w:szCs w:val="24"/>
              </w:rPr>
            </w:pPr>
            <w:r>
              <w:rPr>
                <w:rFonts w:hint="eastAsia"/>
                <w:b/>
                <w:bCs/>
                <w:sz w:val="24"/>
                <w:szCs w:val="24"/>
                <w:lang w:val="en-US" w:eastAsia="zh-CN"/>
              </w:rPr>
              <w:t>合计</w:t>
            </w:r>
          </w:p>
        </w:tc>
        <w:tc>
          <w:tcPr>
            <w:tcW w:w="1884" w:type="pct"/>
            <w:tcBorders>
              <w:top w:val="single" w:color="000000" w:sz="4" w:space="0"/>
              <w:left w:val="single" w:color="000000" w:sz="4" w:space="0"/>
              <w:bottom w:val="single" w:color="000000" w:sz="4" w:space="0"/>
              <w:right w:val="single" w:color="000000" w:sz="4" w:space="0"/>
            </w:tcBorders>
            <w:noWrap w:val="0"/>
            <w:vAlign w:val="center"/>
          </w:tcPr>
          <w:p w14:paraId="1525079D">
            <w:pPr>
              <w:pStyle w:val="99"/>
              <w:keepNext w:val="0"/>
              <w:keepLines w:val="0"/>
              <w:pageBreakBefore w:val="0"/>
              <w:widowControl/>
              <w:kinsoku/>
              <w:wordWrap/>
              <w:overflowPunct/>
              <w:topLinePunct w:val="0"/>
              <w:autoSpaceDE/>
              <w:autoSpaceDN/>
              <w:bidi w:val="0"/>
              <w:adjustRightInd w:val="0"/>
              <w:snapToGrid w:val="0"/>
              <w:textAlignment w:val="center"/>
              <w:rPr>
                <w:rFonts w:hint="default"/>
                <w:b/>
                <w:bCs/>
                <w:sz w:val="24"/>
                <w:szCs w:val="24"/>
              </w:rPr>
            </w:pPr>
          </w:p>
        </w:tc>
        <w:tc>
          <w:tcPr>
            <w:tcW w:w="1162" w:type="pct"/>
            <w:tcBorders>
              <w:top w:val="single" w:color="000000" w:sz="4" w:space="0"/>
              <w:left w:val="single" w:color="000000" w:sz="4" w:space="0"/>
              <w:bottom w:val="single" w:color="000000" w:sz="4" w:space="0"/>
              <w:right w:val="single" w:color="000000" w:sz="4" w:space="0"/>
            </w:tcBorders>
            <w:noWrap w:val="0"/>
            <w:vAlign w:val="center"/>
          </w:tcPr>
          <w:p w14:paraId="275B3356">
            <w:pPr>
              <w:pStyle w:val="99"/>
              <w:keepNext w:val="0"/>
              <w:keepLines w:val="0"/>
              <w:pageBreakBefore w:val="0"/>
              <w:widowControl/>
              <w:kinsoku/>
              <w:wordWrap/>
              <w:overflowPunct/>
              <w:topLinePunct w:val="0"/>
              <w:autoSpaceDE/>
              <w:autoSpaceDN/>
              <w:bidi w:val="0"/>
              <w:adjustRightInd w:val="0"/>
              <w:snapToGrid w:val="0"/>
              <w:textAlignment w:val="center"/>
              <w:rPr>
                <w:rFonts w:hint="eastAsia"/>
                <w:b/>
                <w:bCs/>
                <w:sz w:val="24"/>
                <w:szCs w:val="24"/>
              </w:rPr>
            </w:pPr>
            <w:r>
              <w:rPr>
                <w:rFonts w:hint="eastAsia"/>
                <w:b/>
                <w:bCs/>
                <w:sz w:val="24"/>
                <w:szCs w:val="24"/>
                <w:lang w:val="en-US" w:eastAsia="zh-CN"/>
              </w:rPr>
              <w:t>含税</w:t>
            </w:r>
          </w:p>
        </w:tc>
      </w:tr>
    </w:tbl>
    <w:p w14:paraId="5C0F4230">
      <w:pPr>
        <w:pStyle w:val="100"/>
        <w:bidi w:val="0"/>
        <w:rPr>
          <w:rFonts w:hint="eastAsia"/>
          <w:b/>
          <w:bCs/>
          <w:lang w:val="en-US" w:eastAsia="zh-CN"/>
        </w:rPr>
      </w:pPr>
    </w:p>
    <w:p w14:paraId="753E0589">
      <w:pPr>
        <w:rPr>
          <w:rFonts w:ascii="宋体" w:hAnsi="宋体"/>
          <w:color w:val="auto"/>
          <w:szCs w:val="21"/>
          <w:highlight w:val="none"/>
        </w:rPr>
      </w:pPr>
      <w:r>
        <w:rPr>
          <w:rFonts w:hint="default"/>
          <w:b/>
          <w:bCs/>
          <w:sz w:val="24"/>
          <w:szCs w:val="24"/>
        </w:rPr>
        <w:t>按照上述各项费用</w:t>
      </w:r>
      <w:r>
        <w:rPr>
          <w:rFonts w:hint="eastAsia"/>
          <w:b/>
          <w:bCs/>
          <w:sz w:val="24"/>
          <w:szCs w:val="24"/>
          <w:lang w:val="en-US" w:eastAsia="zh-CN"/>
        </w:rPr>
        <w:t>合计</w:t>
      </w:r>
      <w:r>
        <w:rPr>
          <w:rFonts w:hint="default"/>
          <w:b/>
          <w:bCs/>
          <w:sz w:val="24"/>
          <w:szCs w:val="24"/>
        </w:rPr>
        <w:t>，</w:t>
      </w:r>
      <w:r>
        <w:rPr>
          <w:rFonts w:hint="eastAsia"/>
          <w:b/>
          <w:bCs/>
          <w:sz w:val="24"/>
          <w:szCs w:val="24"/>
          <w:lang w:val="en-US" w:eastAsia="zh-CN"/>
        </w:rPr>
        <w:t>本</w:t>
      </w:r>
      <w:r>
        <w:rPr>
          <w:rFonts w:hint="default"/>
          <w:b/>
          <w:bCs/>
          <w:sz w:val="24"/>
          <w:szCs w:val="24"/>
        </w:rPr>
        <w:t>项目</w:t>
      </w:r>
      <w:r>
        <w:rPr>
          <w:rFonts w:hint="eastAsia"/>
          <w:b/>
          <w:bCs/>
          <w:sz w:val="24"/>
          <w:szCs w:val="24"/>
          <w:lang w:eastAsia="zh-CN"/>
        </w:rPr>
        <w:t>（</w:t>
      </w:r>
      <w:r>
        <w:rPr>
          <w:rFonts w:hint="default"/>
          <w:b/>
          <w:bCs/>
          <w:sz w:val="24"/>
          <w:szCs w:val="24"/>
        </w:rPr>
        <w:t>环境影响评价服务、竣工环境保护验收</w:t>
      </w:r>
      <w:r>
        <w:rPr>
          <w:rFonts w:hint="eastAsia"/>
          <w:b/>
          <w:bCs/>
          <w:sz w:val="24"/>
          <w:szCs w:val="24"/>
          <w:lang w:val="en-US" w:eastAsia="zh-CN"/>
        </w:rPr>
        <w:t>服务</w:t>
      </w:r>
      <w:r>
        <w:rPr>
          <w:rFonts w:hint="default"/>
          <w:b/>
          <w:bCs/>
          <w:sz w:val="24"/>
          <w:szCs w:val="24"/>
        </w:rPr>
        <w:t>、突发环境事件应急预案</w:t>
      </w:r>
      <w:r>
        <w:rPr>
          <w:rFonts w:hint="eastAsia"/>
          <w:b/>
          <w:bCs/>
          <w:sz w:val="24"/>
          <w:szCs w:val="24"/>
          <w:lang w:val="en-US" w:eastAsia="zh-CN"/>
        </w:rPr>
        <w:t>编制及备案服务）投标</w:t>
      </w:r>
      <w:r>
        <w:rPr>
          <w:rFonts w:hint="default"/>
          <w:b/>
          <w:bCs/>
          <w:sz w:val="24"/>
          <w:szCs w:val="24"/>
        </w:rPr>
        <w:t>总</w:t>
      </w:r>
      <w:r>
        <w:rPr>
          <w:rFonts w:hint="eastAsia"/>
          <w:b/>
          <w:bCs/>
          <w:sz w:val="24"/>
          <w:szCs w:val="24"/>
          <w:lang w:val="en-US" w:eastAsia="zh-CN"/>
        </w:rPr>
        <w:t>报价</w:t>
      </w:r>
      <w:r>
        <w:rPr>
          <w:rFonts w:hint="default"/>
          <w:b/>
          <w:bCs/>
          <w:sz w:val="24"/>
          <w:szCs w:val="24"/>
        </w:rPr>
        <w:t>为</w:t>
      </w:r>
      <w:r>
        <w:rPr>
          <w:rFonts w:hint="eastAsia"/>
          <w:b/>
          <w:bCs/>
          <w:sz w:val="24"/>
          <w:szCs w:val="24"/>
          <w:u w:val="single"/>
          <w:lang w:val="en-US" w:eastAsia="zh-CN"/>
        </w:rPr>
        <w:t xml:space="preserve">       </w:t>
      </w:r>
      <w:r>
        <w:rPr>
          <w:rFonts w:hint="default"/>
          <w:b/>
          <w:bCs/>
          <w:sz w:val="24"/>
          <w:szCs w:val="24"/>
        </w:rPr>
        <w:t>万元（含税）。</w:t>
      </w:r>
      <w:r>
        <w:rPr>
          <w:rFonts w:hint="eastAsia" w:ascii="宋体" w:hAnsi="宋体"/>
          <w:color w:val="auto"/>
          <w:szCs w:val="21"/>
          <w:highlight w:val="none"/>
        </w:rPr>
        <w:br w:type="page"/>
      </w:r>
    </w:p>
    <w:p w14:paraId="34EA398A">
      <w:pPr>
        <w:rPr>
          <w:color w:val="auto"/>
          <w:sz w:val="52"/>
          <w:szCs w:val="52"/>
          <w:highlight w:val="none"/>
        </w:rPr>
      </w:pPr>
    </w:p>
    <w:p w14:paraId="294E7319">
      <w:pPr>
        <w:pStyle w:val="6"/>
        <w:spacing w:before="0" w:after="0" w:line="360" w:lineRule="auto"/>
        <w:jc w:val="center"/>
        <w:rPr>
          <w:color w:val="auto"/>
          <w:sz w:val="72"/>
          <w:szCs w:val="72"/>
          <w:highlight w:val="none"/>
        </w:rPr>
      </w:pPr>
      <w:bookmarkStart w:id="207" w:name="_Toc7358"/>
      <w:bookmarkStart w:id="208" w:name="_Toc3239"/>
      <w:r>
        <w:rPr>
          <w:rFonts w:hint="eastAsia"/>
          <w:color w:val="auto"/>
          <w:sz w:val="72"/>
          <w:szCs w:val="72"/>
          <w:highlight w:val="none"/>
        </w:rPr>
        <w:t>商务文件</w:t>
      </w:r>
      <w:bookmarkEnd w:id="207"/>
      <w:bookmarkEnd w:id="208"/>
    </w:p>
    <w:p w14:paraId="42B32BD4">
      <w:pPr>
        <w:jc w:val="center"/>
        <w:rPr>
          <w:rFonts w:ascii="黑体" w:eastAsia="黑体"/>
          <w:color w:val="auto"/>
          <w:sz w:val="72"/>
          <w:szCs w:val="72"/>
          <w:highlight w:val="none"/>
        </w:rPr>
      </w:pPr>
      <w:r>
        <w:rPr>
          <w:rFonts w:hint="eastAsia" w:ascii="黑体" w:eastAsia="黑体"/>
          <w:color w:val="auto"/>
          <w:sz w:val="72"/>
          <w:szCs w:val="72"/>
          <w:highlight w:val="none"/>
        </w:rPr>
        <w:t>（单独装订成册）</w:t>
      </w:r>
    </w:p>
    <w:p w14:paraId="347CAF8D">
      <w:pPr>
        <w:rPr>
          <w:color w:val="auto"/>
          <w:highlight w:val="none"/>
        </w:rPr>
      </w:pPr>
    </w:p>
    <w:p w14:paraId="072D596B">
      <w:pPr>
        <w:pStyle w:val="2"/>
        <w:ind w:left="0"/>
        <w:rPr>
          <w:color w:val="auto"/>
          <w:highlight w:val="none"/>
        </w:rPr>
      </w:pPr>
    </w:p>
    <w:p w14:paraId="38DF83CD">
      <w:pPr>
        <w:pStyle w:val="30"/>
        <w:keepNext w:val="0"/>
        <w:keepLines w:val="0"/>
        <w:pageBreakBefore w:val="0"/>
        <w:widowControl/>
        <w:kinsoku/>
        <w:wordWrap/>
        <w:overflowPunct/>
        <w:topLinePunct w:val="0"/>
        <w:autoSpaceDE/>
        <w:autoSpaceDN/>
        <w:bidi w:val="0"/>
        <w:adjustRightInd w:val="0"/>
        <w:snapToGrid w:val="0"/>
        <w:spacing w:before="0" w:after="0" w:afterAutospacing="0" w:line="360" w:lineRule="auto"/>
        <w:ind w:left="0" w:firstLine="0" w:firstLineChars="0"/>
        <w:textAlignment w:val="auto"/>
        <w:rPr>
          <w:color w:val="auto"/>
          <w:highlight w:val="none"/>
        </w:rPr>
      </w:pPr>
    </w:p>
    <w:p w14:paraId="72A1AA31">
      <w:pPr>
        <w:keepNext w:val="0"/>
        <w:keepLines w:val="0"/>
        <w:pageBreakBefore w:val="0"/>
        <w:widowControl/>
        <w:kinsoku/>
        <w:wordWrap/>
        <w:overflowPunct/>
        <w:topLinePunct w:val="0"/>
        <w:autoSpaceDE/>
        <w:autoSpaceDN/>
        <w:bidi w:val="0"/>
        <w:adjustRightInd/>
        <w:snapToGrid/>
        <w:spacing w:afterAutospacing="0" w:line="360" w:lineRule="auto"/>
        <w:ind w:left="0" w:firstLine="0" w:firstLineChars="0"/>
        <w:textAlignment w:val="auto"/>
        <w:rPr>
          <w:rFonts w:hint="default" w:ascii="Tahoma" w:hAnsi="Tahoma" w:eastAsia="宋体" w:cstheme="minorBidi"/>
          <w:b/>
          <w:bCs/>
          <w:spacing w:val="0"/>
          <w:kern w:val="0"/>
          <w:sz w:val="32"/>
          <w:szCs w:val="32"/>
        </w:rPr>
      </w:pPr>
      <w:r>
        <w:rPr>
          <w:rFonts w:hint="default" w:ascii="Tahoma" w:hAnsi="Tahoma" w:eastAsia="宋体" w:cstheme="minorBidi"/>
          <w:b/>
          <w:bCs/>
          <w:spacing w:val="53"/>
          <w:kern w:val="0"/>
          <w:sz w:val="32"/>
          <w:szCs w:val="32"/>
          <w:fitText w:val="1600" w:id="200887491"/>
        </w:rPr>
        <w:t>项目名</w:t>
      </w:r>
      <w:r>
        <w:rPr>
          <w:rFonts w:hint="default" w:ascii="Tahoma" w:hAnsi="Tahoma" w:eastAsia="宋体" w:cstheme="minorBidi"/>
          <w:b/>
          <w:bCs/>
          <w:spacing w:val="1"/>
          <w:kern w:val="0"/>
          <w:sz w:val="32"/>
          <w:szCs w:val="32"/>
          <w:fitText w:val="1600" w:id="200887491"/>
        </w:rPr>
        <w:t>称</w:t>
      </w:r>
      <w:r>
        <w:rPr>
          <w:rFonts w:hint="default" w:ascii="Tahoma" w:hAnsi="Tahoma" w:eastAsia="宋体" w:cstheme="minorBidi"/>
          <w:b/>
          <w:bCs/>
          <w:spacing w:val="0"/>
          <w:kern w:val="0"/>
          <w:sz w:val="32"/>
          <w:szCs w:val="32"/>
        </w:rPr>
        <w:t>：</w:t>
      </w:r>
    </w:p>
    <w:p w14:paraId="2BCFD62C">
      <w:pPr>
        <w:keepNext w:val="0"/>
        <w:keepLines w:val="0"/>
        <w:pageBreakBefore w:val="0"/>
        <w:widowControl/>
        <w:kinsoku/>
        <w:wordWrap/>
        <w:overflowPunct/>
        <w:topLinePunct w:val="0"/>
        <w:autoSpaceDE/>
        <w:autoSpaceDN/>
        <w:bidi w:val="0"/>
        <w:adjustRightInd/>
        <w:snapToGrid/>
        <w:spacing w:afterAutospacing="0" w:line="360" w:lineRule="auto"/>
        <w:ind w:left="0" w:firstLine="0" w:firstLineChars="0"/>
        <w:textAlignment w:val="auto"/>
        <w:rPr>
          <w:rFonts w:hint="default" w:ascii="Tahoma" w:hAnsi="Tahoma" w:eastAsia="宋体" w:cstheme="minorBidi"/>
          <w:b/>
          <w:bCs/>
          <w:spacing w:val="0"/>
          <w:kern w:val="0"/>
          <w:sz w:val="32"/>
          <w:szCs w:val="32"/>
        </w:rPr>
      </w:pPr>
      <w:r>
        <w:rPr>
          <w:rFonts w:hint="default" w:ascii="Tahoma" w:hAnsi="Tahoma" w:eastAsia="宋体" w:cstheme="minorBidi"/>
          <w:b/>
          <w:bCs/>
          <w:spacing w:val="53"/>
          <w:kern w:val="0"/>
          <w:sz w:val="32"/>
          <w:szCs w:val="32"/>
          <w:fitText w:val="1600" w:id="258952344"/>
        </w:rPr>
        <w:t>项目编</w:t>
      </w:r>
      <w:r>
        <w:rPr>
          <w:rFonts w:hint="default" w:ascii="Tahoma" w:hAnsi="Tahoma" w:eastAsia="宋体" w:cstheme="minorBidi"/>
          <w:b/>
          <w:bCs/>
          <w:spacing w:val="1"/>
          <w:kern w:val="0"/>
          <w:sz w:val="32"/>
          <w:szCs w:val="32"/>
          <w:fitText w:val="1600" w:id="258952344"/>
        </w:rPr>
        <w:t>号</w:t>
      </w:r>
      <w:r>
        <w:rPr>
          <w:rFonts w:hint="default" w:ascii="Tahoma" w:hAnsi="Tahoma" w:eastAsia="宋体" w:cstheme="minorBidi"/>
          <w:b/>
          <w:bCs/>
          <w:spacing w:val="0"/>
          <w:kern w:val="0"/>
          <w:sz w:val="32"/>
          <w:szCs w:val="32"/>
        </w:rPr>
        <w:t>：</w:t>
      </w:r>
    </w:p>
    <w:p w14:paraId="241D3A6E">
      <w:pPr>
        <w:keepNext w:val="0"/>
        <w:keepLines w:val="0"/>
        <w:pageBreakBefore w:val="0"/>
        <w:widowControl/>
        <w:kinsoku/>
        <w:wordWrap/>
        <w:overflowPunct/>
        <w:topLinePunct w:val="0"/>
        <w:autoSpaceDE/>
        <w:autoSpaceDN/>
        <w:bidi w:val="0"/>
        <w:adjustRightInd/>
        <w:snapToGrid/>
        <w:spacing w:afterAutospacing="0" w:line="360" w:lineRule="auto"/>
        <w:ind w:left="0" w:firstLine="0" w:firstLineChars="0"/>
        <w:textAlignment w:val="auto"/>
        <w:rPr>
          <w:rFonts w:hint="default" w:ascii="Tahoma" w:hAnsi="Tahoma" w:eastAsia="宋体" w:cstheme="minorBidi"/>
          <w:b/>
          <w:bCs/>
          <w:spacing w:val="0"/>
          <w:kern w:val="0"/>
          <w:sz w:val="32"/>
          <w:szCs w:val="32"/>
        </w:rPr>
      </w:pPr>
      <w:r>
        <w:rPr>
          <w:rFonts w:hint="default" w:ascii="Tahoma" w:hAnsi="Tahoma" w:eastAsia="宋体" w:cstheme="minorBidi"/>
          <w:b/>
          <w:bCs/>
          <w:spacing w:val="0"/>
          <w:w w:val="100"/>
          <w:kern w:val="0"/>
          <w:sz w:val="32"/>
          <w:szCs w:val="32"/>
        </w:rPr>
        <w:t>包组号（如有）：</w:t>
      </w:r>
    </w:p>
    <w:p w14:paraId="15939149">
      <w:pPr>
        <w:keepNext w:val="0"/>
        <w:keepLines w:val="0"/>
        <w:pageBreakBefore w:val="0"/>
        <w:widowControl/>
        <w:kinsoku/>
        <w:wordWrap/>
        <w:overflowPunct/>
        <w:topLinePunct w:val="0"/>
        <w:autoSpaceDE/>
        <w:autoSpaceDN/>
        <w:bidi w:val="0"/>
        <w:adjustRightInd/>
        <w:snapToGrid/>
        <w:spacing w:afterAutospacing="0" w:line="360" w:lineRule="auto"/>
        <w:ind w:left="0" w:firstLine="0" w:firstLineChars="0"/>
        <w:textAlignment w:val="auto"/>
        <w:rPr>
          <w:rFonts w:hint="default" w:ascii="Tahoma" w:hAnsi="Tahoma" w:eastAsia="宋体" w:cstheme="minorBidi"/>
          <w:b/>
          <w:bCs/>
          <w:spacing w:val="0"/>
          <w:kern w:val="0"/>
          <w:sz w:val="32"/>
          <w:szCs w:val="32"/>
        </w:rPr>
      </w:pPr>
      <w:r>
        <w:rPr>
          <w:rFonts w:hint="default" w:ascii="Tahoma" w:hAnsi="Tahoma" w:eastAsia="宋体" w:cstheme="minorBidi"/>
          <w:b/>
          <w:bCs/>
          <w:spacing w:val="0"/>
          <w:w w:val="100"/>
          <w:kern w:val="0"/>
          <w:sz w:val="32"/>
          <w:szCs w:val="32"/>
        </w:rPr>
        <w:t>投标人名称：</w:t>
      </w:r>
    </w:p>
    <w:p w14:paraId="0E4CA1AC">
      <w:pPr>
        <w:keepNext w:val="0"/>
        <w:keepLines w:val="0"/>
        <w:pageBreakBefore w:val="0"/>
        <w:widowControl/>
        <w:kinsoku/>
        <w:wordWrap/>
        <w:overflowPunct/>
        <w:topLinePunct w:val="0"/>
        <w:autoSpaceDE/>
        <w:autoSpaceDN/>
        <w:bidi w:val="0"/>
        <w:adjustRightInd/>
        <w:snapToGrid/>
        <w:spacing w:afterAutospacing="0" w:line="360" w:lineRule="auto"/>
        <w:ind w:left="0" w:firstLine="0" w:firstLineChars="0"/>
        <w:textAlignment w:val="auto"/>
        <w:rPr>
          <w:rFonts w:hint="default" w:ascii="Tahoma" w:hAnsi="Tahoma" w:eastAsia="宋体" w:cstheme="minorBidi"/>
          <w:b/>
          <w:bCs/>
          <w:spacing w:val="0"/>
          <w:kern w:val="0"/>
          <w:sz w:val="32"/>
          <w:szCs w:val="32"/>
        </w:rPr>
      </w:pPr>
      <w:r>
        <w:rPr>
          <w:rFonts w:hint="default" w:ascii="Tahoma" w:hAnsi="Tahoma" w:eastAsia="宋体" w:cstheme="minorBidi"/>
          <w:b/>
          <w:bCs/>
          <w:spacing w:val="32"/>
          <w:kern w:val="0"/>
          <w:sz w:val="32"/>
          <w:szCs w:val="32"/>
          <w:fitText w:val="1600" w:id="1044581742"/>
        </w:rPr>
        <w:t>日</w:t>
      </w:r>
      <w:r>
        <w:rPr>
          <w:rFonts w:hint="eastAsia" w:eastAsia="宋体" w:cstheme="minorBidi"/>
          <w:b/>
          <w:bCs/>
          <w:spacing w:val="32"/>
          <w:kern w:val="0"/>
          <w:sz w:val="32"/>
          <w:szCs w:val="32"/>
          <w:fitText w:val="1600" w:id="1044581742"/>
          <w:lang w:val="en-US" w:eastAsia="zh-CN"/>
        </w:rPr>
        <w:t xml:space="preserve">   </w:t>
      </w:r>
      <w:r>
        <w:rPr>
          <w:rFonts w:hint="default" w:ascii="Tahoma" w:hAnsi="Tahoma" w:eastAsia="宋体" w:cstheme="minorBidi"/>
          <w:b/>
          <w:bCs/>
          <w:spacing w:val="32"/>
          <w:kern w:val="0"/>
          <w:sz w:val="32"/>
          <w:szCs w:val="32"/>
          <w:fitText w:val="1600" w:id="1044581742"/>
        </w:rPr>
        <w:t xml:space="preserve"> </w:t>
      </w:r>
      <w:r>
        <w:rPr>
          <w:rFonts w:hint="default" w:ascii="Tahoma" w:hAnsi="Tahoma" w:eastAsia="宋体" w:cstheme="minorBidi"/>
          <w:b/>
          <w:bCs/>
          <w:spacing w:val="0"/>
          <w:kern w:val="0"/>
          <w:sz w:val="32"/>
          <w:szCs w:val="32"/>
          <w:fitText w:val="1600" w:id="1044581742"/>
        </w:rPr>
        <w:t>期</w:t>
      </w:r>
      <w:r>
        <w:rPr>
          <w:rFonts w:hint="default" w:ascii="Tahoma" w:hAnsi="Tahoma" w:eastAsia="宋体" w:cstheme="minorBidi"/>
          <w:b/>
          <w:bCs/>
          <w:spacing w:val="0"/>
          <w:kern w:val="0"/>
          <w:sz w:val="32"/>
          <w:szCs w:val="32"/>
        </w:rPr>
        <w:t>：</w:t>
      </w:r>
    </w:p>
    <w:p w14:paraId="47902E3E">
      <w:pPr>
        <w:pStyle w:val="2"/>
        <w:rPr>
          <w:b/>
          <w:color w:val="auto"/>
          <w:sz w:val="32"/>
          <w:szCs w:val="32"/>
          <w:highlight w:val="none"/>
        </w:rPr>
      </w:pPr>
    </w:p>
    <w:p w14:paraId="7FB62FCF">
      <w:pPr>
        <w:rPr>
          <w:rFonts w:ascii="宋体" w:hAnsi="宋体"/>
          <w:color w:val="auto"/>
          <w:szCs w:val="21"/>
          <w:highlight w:val="none"/>
        </w:rPr>
      </w:pPr>
      <w:r>
        <w:rPr>
          <w:rFonts w:hint="eastAsia" w:ascii="宋体" w:hAnsi="宋体"/>
          <w:color w:val="auto"/>
          <w:spacing w:val="1390"/>
          <w:w w:val="100"/>
          <w:kern w:val="0"/>
          <w:szCs w:val="21"/>
          <w:highlight w:val="none"/>
          <w:fitText w:val="1600" w:id="21"/>
        </w:rPr>
        <w:br w:type="page"/>
      </w:r>
    </w:p>
    <w:p w14:paraId="3425D6E3">
      <w:pPr>
        <w:pStyle w:val="8"/>
        <w:widowControl w:val="0"/>
        <w:overflowPunct w:val="0"/>
        <w:spacing w:line="240" w:lineRule="auto"/>
        <w:rPr>
          <w:color w:val="auto"/>
          <w:highlight w:val="none"/>
        </w:rPr>
      </w:pPr>
      <w:bookmarkStart w:id="209" w:name="_Toc11732"/>
      <w:bookmarkStart w:id="210" w:name="_Toc924"/>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4</w:t>
      </w:r>
      <w:r>
        <w:rPr>
          <w:rFonts w:hint="eastAsia" w:ascii="宋体" w:hAnsi="宋体"/>
          <w:color w:val="auto"/>
          <w:sz w:val="21"/>
          <w:szCs w:val="21"/>
          <w:highlight w:val="none"/>
        </w:rPr>
        <w:t>.投标书格式</w:t>
      </w:r>
      <w:bookmarkEnd w:id="209"/>
      <w:bookmarkEnd w:id="210"/>
    </w:p>
    <w:p w14:paraId="6772C408">
      <w:pPr>
        <w:jc w:val="center"/>
        <w:rPr>
          <w:rFonts w:ascii="宋体" w:hAnsi="宋体"/>
          <w:color w:val="auto"/>
          <w:szCs w:val="21"/>
          <w:highlight w:val="none"/>
        </w:rPr>
      </w:pPr>
      <w:r>
        <w:rPr>
          <w:rFonts w:hint="eastAsia" w:ascii="黑体" w:eastAsia="黑体"/>
          <w:color w:val="auto"/>
          <w:sz w:val="32"/>
          <w:szCs w:val="32"/>
          <w:highlight w:val="none"/>
        </w:rPr>
        <w:t>投标书</w:t>
      </w:r>
    </w:p>
    <w:p w14:paraId="1BFAB071">
      <w:pPr>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lang w:eastAsia="zh-CN"/>
        </w:rPr>
        <w:t>广州宏达工程顾问集团有限公司</w:t>
      </w:r>
      <w:r>
        <w:rPr>
          <w:rFonts w:hint="eastAsia" w:ascii="宋体" w:hAnsi="宋体"/>
          <w:color w:val="auto"/>
          <w:szCs w:val="21"/>
          <w:highlight w:val="none"/>
        </w:rPr>
        <w:t>：</w:t>
      </w:r>
    </w:p>
    <w:p w14:paraId="45368A5F">
      <w:pPr>
        <w:rPr>
          <w:rFonts w:ascii="宋体" w:hAnsi="宋体"/>
          <w:color w:val="auto"/>
          <w:szCs w:val="21"/>
          <w:highlight w:val="none"/>
        </w:rPr>
      </w:pPr>
    </w:p>
    <w:p w14:paraId="2E2F3A7C">
      <w:pPr>
        <w:ind w:firstLine="420" w:firstLineChars="200"/>
        <w:rPr>
          <w:rFonts w:ascii="宋体" w:hAnsi="宋体"/>
          <w:color w:val="auto"/>
          <w:szCs w:val="21"/>
          <w:highlight w:val="none"/>
        </w:rPr>
      </w:pPr>
      <w:r>
        <w:rPr>
          <w:rFonts w:hint="eastAsia" w:ascii="宋体" w:hAnsi="宋体"/>
          <w:color w:val="auto"/>
          <w:szCs w:val="21"/>
          <w:highlight w:val="none"/>
        </w:rPr>
        <w:t>根据贵方为</w:t>
      </w:r>
      <w:r>
        <w:rPr>
          <w:rFonts w:hint="eastAsia" w:ascii="宋体" w:hAnsi="宋体"/>
          <w:color w:val="auto"/>
          <w:szCs w:val="21"/>
          <w:highlight w:val="none"/>
          <w:u w:val="single"/>
        </w:rPr>
        <w:t>（项目名称）（采购项目编号）</w:t>
      </w:r>
      <w:r>
        <w:rPr>
          <w:rFonts w:hint="eastAsia" w:ascii="宋体" w:hAnsi="宋体"/>
          <w:color w:val="auto"/>
          <w:szCs w:val="21"/>
          <w:highlight w:val="none"/>
        </w:rPr>
        <w:t>项目采购公告/采购邀请，签字代表</w:t>
      </w:r>
      <w:r>
        <w:rPr>
          <w:rFonts w:hint="eastAsia" w:ascii="宋体" w:hAnsi="宋体"/>
          <w:color w:val="auto"/>
          <w:szCs w:val="21"/>
          <w:highlight w:val="none"/>
          <w:u w:val="single"/>
        </w:rPr>
        <w:t>（姓名、职务）</w:t>
      </w:r>
      <w:r>
        <w:rPr>
          <w:rFonts w:hint="eastAsia" w:ascii="宋体" w:hAnsi="宋体"/>
          <w:color w:val="auto"/>
          <w:szCs w:val="21"/>
          <w:highlight w:val="none"/>
        </w:rPr>
        <w:t>经正式授权并代表投标人</w:t>
      </w:r>
      <w:r>
        <w:rPr>
          <w:rFonts w:hint="eastAsia" w:ascii="宋体" w:hAnsi="宋体"/>
          <w:color w:val="auto"/>
          <w:szCs w:val="21"/>
          <w:highlight w:val="none"/>
          <w:u w:val="single"/>
        </w:rPr>
        <w:t>（投标人名称、地址）</w:t>
      </w:r>
      <w:r>
        <w:rPr>
          <w:rFonts w:hint="eastAsia" w:ascii="宋体" w:hAnsi="宋体"/>
          <w:color w:val="auto"/>
          <w:szCs w:val="21"/>
          <w:highlight w:val="none"/>
        </w:rPr>
        <w:t>提交投标文件及“唱标信封”：</w:t>
      </w:r>
    </w:p>
    <w:p w14:paraId="0695E682">
      <w:pPr>
        <w:ind w:firstLine="420" w:firstLineChars="200"/>
        <w:rPr>
          <w:rFonts w:ascii="宋体" w:hAnsi="宋体"/>
          <w:color w:val="auto"/>
          <w:szCs w:val="21"/>
          <w:highlight w:val="none"/>
        </w:rPr>
      </w:pPr>
      <w:r>
        <w:rPr>
          <w:rFonts w:hint="eastAsia" w:ascii="宋体" w:hAnsi="宋体"/>
          <w:color w:val="auto"/>
          <w:szCs w:val="21"/>
          <w:highlight w:val="none"/>
        </w:rPr>
        <w:t xml:space="preserve">在此，签字代表宣布同意如下： </w:t>
      </w:r>
    </w:p>
    <w:p w14:paraId="393803D7">
      <w:pPr>
        <w:widowControl w:val="0"/>
        <w:numPr>
          <w:ilvl w:val="0"/>
          <w:numId w:val="8"/>
        </w:numPr>
        <w:adjustRightInd/>
        <w:snapToGrid/>
        <w:jc w:val="both"/>
        <w:rPr>
          <w:rFonts w:ascii="宋体" w:hAnsi="宋体"/>
          <w:color w:val="auto"/>
          <w:szCs w:val="21"/>
          <w:highlight w:val="none"/>
        </w:rPr>
      </w:pPr>
      <w:r>
        <w:rPr>
          <w:rFonts w:hint="eastAsia" w:ascii="宋体" w:hAnsi="宋体"/>
          <w:color w:val="auto"/>
          <w:szCs w:val="21"/>
          <w:highlight w:val="none"/>
        </w:rPr>
        <w:t xml:space="preserve">我方将按采购文件的规定履行合同责任和义务。 </w:t>
      </w:r>
    </w:p>
    <w:p w14:paraId="38C17062">
      <w:pPr>
        <w:widowControl w:val="0"/>
        <w:numPr>
          <w:ilvl w:val="0"/>
          <w:numId w:val="8"/>
        </w:numPr>
        <w:adjustRightInd/>
        <w:snapToGrid/>
        <w:jc w:val="both"/>
        <w:rPr>
          <w:rFonts w:ascii="宋体" w:hAnsi="宋体"/>
          <w:color w:val="auto"/>
          <w:szCs w:val="21"/>
          <w:highlight w:val="none"/>
        </w:rPr>
      </w:pPr>
      <w:r>
        <w:rPr>
          <w:rFonts w:hint="eastAsia" w:ascii="宋体" w:hAnsi="宋体"/>
          <w:b/>
          <w:color w:val="auto"/>
          <w:szCs w:val="21"/>
          <w:highlight w:val="none"/>
        </w:rPr>
        <w:t>我方已完整阅读了本项目采购文件的所有内容（包括澄清，以及所有已提供的参考资料和有关附件），并完全理解上述文件所表达的意思，该项目递交投标文件时间截止后，我方承诺不再对上述文件内容进行异议。</w:t>
      </w:r>
    </w:p>
    <w:p w14:paraId="59A94BB3">
      <w:pPr>
        <w:widowControl w:val="0"/>
        <w:numPr>
          <w:ilvl w:val="0"/>
          <w:numId w:val="8"/>
        </w:numPr>
        <w:adjustRightInd/>
        <w:snapToGrid/>
        <w:jc w:val="both"/>
        <w:rPr>
          <w:rFonts w:ascii="宋体" w:hAnsi="宋体"/>
          <w:color w:val="auto"/>
          <w:szCs w:val="21"/>
          <w:highlight w:val="none"/>
        </w:rPr>
      </w:pPr>
      <w:r>
        <w:rPr>
          <w:rFonts w:hint="eastAsia" w:ascii="宋体" w:hAnsi="宋体"/>
          <w:color w:val="auto"/>
          <w:szCs w:val="21"/>
          <w:highlight w:val="none"/>
        </w:rPr>
        <w:t>本投标有效期为自开标日起</w:t>
      </w:r>
      <w:r>
        <w:rPr>
          <w:rFonts w:hint="eastAsia" w:ascii="宋体" w:hAnsi="宋体"/>
          <w:color w:val="auto"/>
          <w:szCs w:val="21"/>
          <w:highlight w:val="none"/>
          <w:u w:val="single"/>
        </w:rPr>
        <w:t>90</w:t>
      </w:r>
      <w:r>
        <w:rPr>
          <w:rFonts w:hint="eastAsia" w:ascii="宋体" w:hAnsi="宋体"/>
          <w:color w:val="auto"/>
          <w:szCs w:val="21"/>
          <w:highlight w:val="none"/>
        </w:rPr>
        <w:t xml:space="preserve">个日历日。 </w:t>
      </w:r>
    </w:p>
    <w:p w14:paraId="339AD364">
      <w:pPr>
        <w:widowControl w:val="0"/>
        <w:numPr>
          <w:ilvl w:val="0"/>
          <w:numId w:val="8"/>
        </w:numPr>
        <w:adjustRightInd/>
        <w:snapToGrid/>
        <w:jc w:val="both"/>
        <w:rPr>
          <w:rFonts w:ascii="宋体" w:hAnsi="宋体"/>
          <w:color w:val="auto"/>
          <w:szCs w:val="21"/>
          <w:highlight w:val="none"/>
        </w:rPr>
      </w:pPr>
      <w:r>
        <w:rPr>
          <w:rFonts w:hint="eastAsia" w:ascii="宋体" w:hAnsi="宋体"/>
          <w:color w:val="auto"/>
          <w:szCs w:val="21"/>
          <w:highlight w:val="none"/>
        </w:rPr>
        <w:t>我方保证遵守投标人须知中关于没收投标保证金的规定。</w:t>
      </w:r>
    </w:p>
    <w:p w14:paraId="41BD5266">
      <w:pPr>
        <w:widowControl w:val="0"/>
        <w:numPr>
          <w:ilvl w:val="0"/>
          <w:numId w:val="8"/>
        </w:numPr>
        <w:adjustRightInd/>
        <w:snapToGrid/>
        <w:jc w:val="both"/>
        <w:rPr>
          <w:rFonts w:ascii="宋体" w:hAnsi="宋体"/>
          <w:color w:val="auto"/>
          <w:szCs w:val="21"/>
          <w:highlight w:val="none"/>
        </w:rPr>
      </w:pPr>
      <w:r>
        <w:rPr>
          <w:rFonts w:hint="eastAsia" w:ascii="宋体" w:hAnsi="宋体"/>
          <w:color w:val="auto"/>
          <w:szCs w:val="21"/>
          <w:highlight w:val="none"/>
        </w:rPr>
        <w:t xml:space="preserve">我方承诺，与买方聘请的为此项目提供咨询服务的公司及任何附属机构均无关联，我方不是买方的附属机构。 </w:t>
      </w:r>
    </w:p>
    <w:p w14:paraId="0BD6D29C">
      <w:pPr>
        <w:widowControl w:val="0"/>
        <w:numPr>
          <w:ilvl w:val="0"/>
          <w:numId w:val="8"/>
        </w:numPr>
        <w:adjustRightInd/>
        <w:snapToGrid/>
        <w:jc w:val="both"/>
        <w:rPr>
          <w:rFonts w:ascii="宋体" w:hAnsi="宋体"/>
          <w:color w:val="auto"/>
          <w:szCs w:val="21"/>
          <w:highlight w:val="none"/>
        </w:rPr>
      </w:pPr>
      <w:r>
        <w:rPr>
          <w:rFonts w:hint="eastAsia" w:ascii="宋体" w:hAnsi="宋体"/>
          <w:color w:val="auto"/>
          <w:szCs w:val="21"/>
          <w:highlight w:val="none"/>
        </w:rPr>
        <w:t>我方承诺，我方具备投标人邀请中所要求的资格条件，已清楚采购文件所有要求及有关规定；并承诺参加本次采购活动中，如有违法、违规、弄虚作假行为，所造成的损失、不良后果及法律责任，一律由我方承担；</w:t>
      </w:r>
    </w:p>
    <w:p w14:paraId="066190B5">
      <w:pPr>
        <w:widowControl w:val="0"/>
        <w:numPr>
          <w:ilvl w:val="0"/>
          <w:numId w:val="8"/>
        </w:numPr>
        <w:adjustRightInd/>
        <w:snapToGrid/>
        <w:jc w:val="both"/>
        <w:rPr>
          <w:rFonts w:ascii="宋体" w:hAnsi="宋体"/>
          <w:color w:val="auto"/>
          <w:szCs w:val="21"/>
          <w:highlight w:val="none"/>
        </w:rPr>
      </w:pPr>
      <w:r>
        <w:rPr>
          <w:rFonts w:hint="eastAsia" w:ascii="宋体" w:hAnsi="宋体"/>
          <w:color w:val="auto"/>
          <w:szCs w:val="21"/>
          <w:highlight w:val="none"/>
        </w:rPr>
        <w:t>我方同意提供按照贵方可能要求的与其投标有关的一切数据或资料。</w:t>
      </w:r>
    </w:p>
    <w:p w14:paraId="6F4BE4C8">
      <w:pPr>
        <w:widowControl w:val="0"/>
        <w:numPr>
          <w:ilvl w:val="0"/>
          <w:numId w:val="8"/>
        </w:numPr>
        <w:adjustRightInd/>
        <w:snapToGrid/>
        <w:jc w:val="both"/>
        <w:rPr>
          <w:rFonts w:ascii="宋体" w:hAnsi="宋体"/>
          <w:color w:val="auto"/>
          <w:szCs w:val="21"/>
          <w:highlight w:val="none"/>
        </w:rPr>
      </w:pPr>
      <w:r>
        <w:rPr>
          <w:rFonts w:hint="eastAsia" w:ascii="宋体" w:hAnsi="宋体"/>
          <w:color w:val="auto"/>
          <w:szCs w:val="21"/>
          <w:highlight w:val="none"/>
        </w:rPr>
        <w:t>与本投标有关的一切正式信函请寄：</w:t>
      </w:r>
    </w:p>
    <w:p w14:paraId="261F0532">
      <w:pPr>
        <w:rPr>
          <w:rFonts w:hint="eastAsia" w:ascii="宋体" w:hAnsi="宋体"/>
          <w:color w:val="auto"/>
          <w:szCs w:val="21"/>
          <w:highlight w:val="none"/>
        </w:rPr>
      </w:pPr>
    </w:p>
    <w:p w14:paraId="28F9D667">
      <w:pPr>
        <w:snapToGrid/>
        <w:rPr>
          <w:rFonts w:ascii="宋体" w:hAnsi="宋体"/>
          <w:color w:val="auto"/>
          <w:szCs w:val="21"/>
          <w:highlight w:val="none"/>
        </w:rPr>
      </w:pPr>
      <w:r>
        <w:rPr>
          <w:rFonts w:hint="eastAsia" w:ascii="宋体" w:hAnsi="宋体"/>
          <w:color w:val="auto"/>
          <w:szCs w:val="21"/>
          <w:highlight w:val="none"/>
        </w:rPr>
        <w:t>地址：　　　　　　　　　　　　　　　　　　　 电子邮箱：</w:t>
      </w:r>
    </w:p>
    <w:p w14:paraId="1754B4D2">
      <w:pPr>
        <w:snapToGrid/>
        <w:rPr>
          <w:rFonts w:ascii="宋体" w:hAnsi="宋体"/>
          <w:color w:val="auto"/>
          <w:szCs w:val="21"/>
          <w:highlight w:val="none"/>
        </w:rPr>
      </w:pPr>
      <w:r>
        <w:rPr>
          <w:rFonts w:hint="eastAsia" w:ascii="宋体" w:hAnsi="宋体"/>
          <w:color w:val="auto"/>
          <w:szCs w:val="21"/>
          <w:highlight w:val="none"/>
        </w:rPr>
        <w:t>电话/移动电话：　　　　　　　　　　　　　　　</w:t>
      </w:r>
    </w:p>
    <w:p w14:paraId="04837040">
      <w:pPr>
        <w:snapToGrid/>
        <w:rPr>
          <w:rFonts w:ascii="宋体" w:hAnsi="宋体"/>
          <w:color w:val="auto"/>
          <w:szCs w:val="21"/>
          <w:highlight w:val="none"/>
        </w:rPr>
      </w:pPr>
      <w:r>
        <w:rPr>
          <w:rFonts w:hint="eastAsia" w:ascii="宋体" w:hAnsi="宋体"/>
          <w:color w:val="auto"/>
          <w:szCs w:val="21"/>
          <w:highlight w:val="none"/>
        </w:rPr>
        <w:t xml:space="preserve">投标人法定代表人（或其授权代表）签字： </w:t>
      </w:r>
    </w:p>
    <w:p w14:paraId="370BEABF">
      <w:pPr>
        <w:snapToGrid/>
        <w:rPr>
          <w:rFonts w:ascii="宋体" w:hAnsi="宋体"/>
          <w:color w:val="auto"/>
          <w:szCs w:val="21"/>
          <w:highlight w:val="none"/>
        </w:rPr>
      </w:pPr>
      <w:r>
        <w:rPr>
          <w:rFonts w:hint="eastAsia" w:ascii="宋体" w:hAnsi="宋体"/>
          <w:color w:val="auto"/>
          <w:szCs w:val="21"/>
          <w:highlight w:val="none"/>
        </w:rPr>
        <w:t xml:space="preserve">投标人名称（全称）： </w:t>
      </w:r>
    </w:p>
    <w:p w14:paraId="10052ECD">
      <w:pPr>
        <w:snapToGrid/>
        <w:rPr>
          <w:rFonts w:ascii="宋体" w:hAnsi="宋体"/>
          <w:color w:val="auto"/>
          <w:szCs w:val="21"/>
          <w:highlight w:val="none"/>
        </w:rPr>
      </w:pPr>
      <w:r>
        <w:rPr>
          <w:rFonts w:hint="eastAsia" w:ascii="宋体" w:hAnsi="宋体"/>
          <w:color w:val="auto"/>
          <w:szCs w:val="21"/>
          <w:highlight w:val="none"/>
        </w:rPr>
        <w:t xml:space="preserve">投标人盖章： </w:t>
      </w:r>
    </w:p>
    <w:p w14:paraId="4A347173">
      <w:pPr>
        <w:snapToGrid/>
        <w:rPr>
          <w:color w:val="auto"/>
          <w:highlight w:val="none"/>
        </w:rPr>
      </w:pPr>
      <w:r>
        <w:rPr>
          <w:rFonts w:hint="eastAsia" w:ascii="宋体" w:hAnsi="宋体"/>
          <w:color w:val="auto"/>
          <w:szCs w:val="21"/>
          <w:highlight w:val="none"/>
        </w:rPr>
        <w:t>日期：</w:t>
      </w:r>
      <w:r>
        <w:rPr>
          <w:color w:val="auto"/>
          <w:highlight w:val="none"/>
        </w:rPr>
        <w:br w:type="page"/>
      </w:r>
    </w:p>
    <w:p w14:paraId="17400258">
      <w:pPr>
        <w:pStyle w:val="8"/>
        <w:widowControl w:val="0"/>
        <w:overflowPunct w:val="0"/>
        <w:spacing w:line="240" w:lineRule="auto"/>
        <w:rPr>
          <w:rFonts w:ascii="宋体" w:hAnsi="宋体"/>
          <w:color w:val="auto"/>
          <w:sz w:val="21"/>
          <w:szCs w:val="21"/>
          <w:highlight w:val="none"/>
        </w:rPr>
      </w:pPr>
      <w:bookmarkStart w:id="211" w:name="_Toc17620"/>
      <w:bookmarkStart w:id="212" w:name="_Toc19972"/>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5</w:t>
      </w:r>
      <w:r>
        <w:rPr>
          <w:rFonts w:hint="eastAsia" w:ascii="宋体" w:hAnsi="宋体"/>
          <w:color w:val="auto"/>
          <w:sz w:val="21"/>
          <w:szCs w:val="21"/>
          <w:highlight w:val="none"/>
        </w:rPr>
        <w:t>. 法定代表人证明书格式</w:t>
      </w:r>
      <w:bookmarkEnd w:id="211"/>
      <w:bookmarkEnd w:id="212"/>
    </w:p>
    <w:p w14:paraId="1B0E5AEE">
      <w:pPr>
        <w:rPr>
          <w:color w:val="auto"/>
          <w:highlight w:val="none"/>
        </w:rPr>
      </w:pPr>
    </w:p>
    <w:p w14:paraId="2AB21264">
      <w:pPr>
        <w:jc w:val="center"/>
        <w:rPr>
          <w:rFonts w:ascii="黑体" w:eastAsia="黑体"/>
          <w:color w:val="auto"/>
          <w:sz w:val="28"/>
          <w:szCs w:val="28"/>
          <w:highlight w:val="none"/>
        </w:rPr>
      </w:pPr>
      <w:r>
        <w:rPr>
          <w:rFonts w:hint="eastAsia" w:ascii="黑体" w:eastAsia="黑体"/>
          <w:color w:val="auto"/>
          <w:sz w:val="28"/>
          <w:szCs w:val="28"/>
          <w:highlight w:val="none"/>
        </w:rPr>
        <w:t>法定代表人证明书</w:t>
      </w:r>
    </w:p>
    <w:p w14:paraId="2D1932AA">
      <w:pPr>
        <w:pStyle w:val="48"/>
        <w:spacing w:line="420" w:lineRule="atLeast"/>
        <w:ind w:firstLine="0" w:firstLineChars="0"/>
        <w:rPr>
          <w:rFonts w:hint="eastAsia" w:ascii="宋体" w:eastAsia="宋体"/>
          <w:color w:val="auto"/>
          <w:sz w:val="21"/>
          <w:szCs w:val="21"/>
          <w:highlight w:val="none"/>
          <w:lang w:eastAsia="zh-CN"/>
        </w:rPr>
      </w:pPr>
      <w:r>
        <w:rPr>
          <w:rFonts w:hint="eastAsia" w:ascii="宋体" w:eastAsia="宋体"/>
          <w:color w:val="auto"/>
          <w:sz w:val="21"/>
          <w:szCs w:val="21"/>
          <w:highlight w:val="none"/>
        </w:rPr>
        <w:t>致：</w:t>
      </w:r>
      <w:r>
        <w:rPr>
          <w:rFonts w:hint="eastAsia" w:ascii="宋体" w:eastAsia="宋体"/>
          <w:color w:val="auto"/>
          <w:sz w:val="21"/>
          <w:szCs w:val="21"/>
          <w:highlight w:val="none"/>
          <w:lang w:eastAsia="zh-CN"/>
        </w:rPr>
        <w:t>广州宏达工程顾问集团有限公司</w:t>
      </w:r>
    </w:p>
    <w:p w14:paraId="49869F85">
      <w:pPr>
        <w:pStyle w:val="48"/>
        <w:spacing w:line="420" w:lineRule="atLeast"/>
        <w:ind w:firstLine="433"/>
        <w:rPr>
          <w:rFonts w:ascii="宋体" w:eastAsia="宋体"/>
          <w:color w:val="auto"/>
          <w:sz w:val="21"/>
          <w:szCs w:val="21"/>
          <w:highlight w:val="none"/>
        </w:rPr>
      </w:pPr>
    </w:p>
    <w:p w14:paraId="489085ED">
      <w:pPr>
        <w:pStyle w:val="48"/>
        <w:spacing w:line="420" w:lineRule="atLeast"/>
        <w:ind w:firstLine="433"/>
        <w:rPr>
          <w:rFonts w:ascii="宋体" w:eastAsia="宋体"/>
          <w:color w:val="auto"/>
          <w:sz w:val="21"/>
          <w:szCs w:val="21"/>
          <w:highlight w:val="none"/>
          <w:u w:val="single"/>
        </w:rPr>
      </w:pPr>
      <w:r>
        <w:rPr>
          <w:rFonts w:hint="eastAsia" w:ascii="宋体" w:eastAsia="宋体"/>
          <w:color w:val="auto"/>
          <w:sz w:val="21"/>
          <w:szCs w:val="21"/>
          <w:highlight w:val="none"/>
        </w:rPr>
        <w:t>投标人名称:</w:t>
      </w:r>
    </w:p>
    <w:p w14:paraId="4F0CEE4E">
      <w:pPr>
        <w:pStyle w:val="48"/>
        <w:spacing w:line="420" w:lineRule="atLeast"/>
        <w:ind w:firstLine="433"/>
        <w:rPr>
          <w:rFonts w:ascii="宋体" w:eastAsia="宋体"/>
          <w:color w:val="auto"/>
          <w:sz w:val="21"/>
          <w:szCs w:val="21"/>
          <w:highlight w:val="none"/>
          <w:u w:val="single"/>
        </w:rPr>
      </w:pPr>
      <w:r>
        <w:rPr>
          <w:rFonts w:hint="eastAsia" w:ascii="宋体" w:eastAsia="宋体"/>
          <w:color w:val="auto"/>
          <w:sz w:val="21"/>
          <w:szCs w:val="21"/>
          <w:highlight w:val="none"/>
        </w:rPr>
        <w:t>单位性质：</w:t>
      </w:r>
    </w:p>
    <w:p w14:paraId="78EA3F3B">
      <w:pPr>
        <w:pStyle w:val="48"/>
        <w:spacing w:line="420" w:lineRule="atLeast"/>
        <w:ind w:firstLine="433"/>
        <w:rPr>
          <w:rFonts w:ascii="宋体" w:eastAsia="宋体"/>
          <w:color w:val="auto"/>
          <w:sz w:val="21"/>
          <w:szCs w:val="21"/>
          <w:highlight w:val="none"/>
          <w:u w:val="single"/>
        </w:rPr>
      </w:pPr>
      <w:r>
        <w:rPr>
          <w:rFonts w:hint="eastAsia" w:ascii="宋体" w:eastAsia="宋体"/>
          <w:color w:val="auto"/>
          <w:sz w:val="21"/>
          <w:szCs w:val="21"/>
          <w:highlight w:val="none"/>
        </w:rPr>
        <w:t xml:space="preserve">地  </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址：</w:t>
      </w:r>
    </w:p>
    <w:p w14:paraId="37B10D2F">
      <w:pPr>
        <w:pStyle w:val="48"/>
        <w:spacing w:line="420" w:lineRule="atLeast"/>
        <w:ind w:firstLine="433"/>
        <w:rPr>
          <w:rFonts w:ascii="宋体" w:eastAsia="宋体"/>
          <w:color w:val="auto"/>
          <w:sz w:val="21"/>
          <w:szCs w:val="21"/>
          <w:highlight w:val="none"/>
        </w:rPr>
      </w:pPr>
      <w:r>
        <w:rPr>
          <w:rFonts w:hint="eastAsia" w:ascii="宋体" w:eastAsia="宋体"/>
          <w:color w:val="auto"/>
          <w:sz w:val="21"/>
          <w:szCs w:val="21"/>
          <w:highlight w:val="none"/>
        </w:rPr>
        <w:t>成立时间：</w:t>
      </w:r>
      <w:r>
        <w:rPr>
          <w:rFonts w:hint="eastAsia" w:ascii="宋体" w:eastAsia="宋体"/>
          <w:color w:val="auto"/>
          <w:sz w:val="21"/>
          <w:szCs w:val="21"/>
          <w:highlight w:val="none"/>
          <w:lang w:val="en-US" w:eastAsia="zh-CN"/>
        </w:rPr>
        <w:t>______</w:t>
      </w:r>
      <w:r>
        <w:rPr>
          <w:rFonts w:hint="eastAsia" w:ascii="宋体" w:eastAsia="宋体"/>
          <w:color w:val="auto"/>
          <w:sz w:val="21"/>
          <w:szCs w:val="21"/>
          <w:highlight w:val="none"/>
        </w:rPr>
        <w:t>年</w:t>
      </w:r>
      <w:r>
        <w:rPr>
          <w:rFonts w:hint="eastAsia" w:ascii="宋体" w:eastAsia="宋体"/>
          <w:color w:val="auto"/>
          <w:sz w:val="21"/>
          <w:szCs w:val="21"/>
          <w:highlight w:val="none"/>
          <w:lang w:val="en-US" w:eastAsia="zh-CN"/>
        </w:rPr>
        <w:t>____</w:t>
      </w:r>
      <w:r>
        <w:rPr>
          <w:rFonts w:hint="eastAsia" w:ascii="宋体" w:eastAsia="宋体"/>
          <w:color w:val="auto"/>
          <w:sz w:val="21"/>
          <w:szCs w:val="21"/>
          <w:highlight w:val="none"/>
        </w:rPr>
        <w:t>月</w:t>
      </w:r>
      <w:r>
        <w:rPr>
          <w:rFonts w:hint="eastAsia" w:ascii="宋体" w:eastAsia="宋体"/>
          <w:color w:val="auto"/>
          <w:sz w:val="21"/>
          <w:szCs w:val="21"/>
          <w:highlight w:val="none"/>
          <w:lang w:val="en-US" w:eastAsia="zh-CN"/>
        </w:rPr>
        <w:t>____</w:t>
      </w:r>
      <w:r>
        <w:rPr>
          <w:rFonts w:hint="eastAsia" w:ascii="宋体" w:eastAsia="宋体"/>
          <w:color w:val="auto"/>
          <w:sz w:val="21"/>
          <w:szCs w:val="21"/>
          <w:highlight w:val="none"/>
        </w:rPr>
        <w:t>日</w:t>
      </w:r>
    </w:p>
    <w:p w14:paraId="5A76E600">
      <w:pPr>
        <w:pStyle w:val="48"/>
        <w:spacing w:line="420" w:lineRule="atLeast"/>
        <w:ind w:firstLine="433"/>
        <w:rPr>
          <w:rFonts w:ascii="宋体" w:eastAsia="宋体"/>
          <w:color w:val="auto"/>
          <w:sz w:val="21"/>
          <w:szCs w:val="21"/>
          <w:highlight w:val="none"/>
        </w:rPr>
      </w:pPr>
      <w:r>
        <w:rPr>
          <w:rFonts w:hint="eastAsia" w:ascii="宋体" w:eastAsia="宋体"/>
          <w:color w:val="auto"/>
          <w:sz w:val="21"/>
          <w:szCs w:val="21"/>
          <w:highlight w:val="none"/>
        </w:rPr>
        <w:t>经营期限：</w:t>
      </w:r>
    </w:p>
    <w:p w14:paraId="7B7E6D66">
      <w:pPr>
        <w:pStyle w:val="48"/>
        <w:spacing w:line="420" w:lineRule="atLeast"/>
        <w:ind w:firstLine="433"/>
        <w:rPr>
          <w:rFonts w:ascii="宋体" w:eastAsia="宋体"/>
          <w:color w:val="auto"/>
          <w:sz w:val="21"/>
          <w:szCs w:val="21"/>
          <w:highlight w:val="none"/>
        </w:rPr>
      </w:pPr>
      <w:r>
        <w:rPr>
          <w:rFonts w:hint="eastAsia" w:ascii="宋体" w:eastAsia="宋体"/>
          <w:color w:val="auto"/>
          <w:sz w:val="21"/>
          <w:szCs w:val="21"/>
          <w:highlight w:val="none"/>
        </w:rPr>
        <w:t>姓名：</w:t>
      </w:r>
      <w:r>
        <w:rPr>
          <w:rFonts w:hint="eastAsia" w:ascii="宋体" w:eastAsia="宋体"/>
          <w:color w:val="auto"/>
          <w:sz w:val="21"/>
          <w:szCs w:val="21"/>
          <w:highlight w:val="none"/>
          <w:lang w:val="en-US" w:eastAsia="zh-CN"/>
        </w:rPr>
        <w:t xml:space="preserve">__________    </w:t>
      </w:r>
      <w:r>
        <w:rPr>
          <w:rFonts w:hint="eastAsia" w:ascii="宋体" w:eastAsia="宋体"/>
          <w:color w:val="auto"/>
          <w:sz w:val="21"/>
          <w:szCs w:val="21"/>
          <w:highlight w:val="none"/>
        </w:rPr>
        <w:t>性别：</w:t>
      </w:r>
      <w:r>
        <w:rPr>
          <w:rFonts w:hint="eastAsia" w:ascii="宋体" w:eastAsia="宋体"/>
          <w:color w:val="auto"/>
          <w:sz w:val="21"/>
          <w:szCs w:val="21"/>
          <w:highlight w:val="none"/>
          <w:lang w:val="en-US" w:eastAsia="zh-CN"/>
        </w:rPr>
        <w:t xml:space="preserve">______    </w:t>
      </w:r>
      <w:r>
        <w:rPr>
          <w:rFonts w:hint="eastAsia" w:ascii="宋体" w:eastAsia="宋体"/>
          <w:color w:val="auto"/>
          <w:sz w:val="21"/>
          <w:szCs w:val="21"/>
          <w:highlight w:val="none"/>
        </w:rPr>
        <w:t>年龄：</w:t>
      </w:r>
      <w:r>
        <w:rPr>
          <w:rFonts w:hint="eastAsia" w:ascii="宋体" w:eastAsia="宋体"/>
          <w:color w:val="auto"/>
          <w:sz w:val="21"/>
          <w:szCs w:val="21"/>
          <w:highlight w:val="none"/>
          <w:lang w:val="en-US" w:eastAsia="zh-CN"/>
        </w:rPr>
        <w:t xml:space="preserve">______    </w:t>
      </w:r>
      <w:r>
        <w:rPr>
          <w:rFonts w:hint="eastAsia" w:ascii="宋体" w:eastAsia="宋体"/>
          <w:color w:val="auto"/>
          <w:sz w:val="21"/>
          <w:szCs w:val="21"/>
          <w:highlight w:val="none"/>
        </w:rPr>
        <w:t>职务：</w:t>
      </w:r>
      <w:r>
        <w:rPr>
          <w:rFonts w:hint="eastAsia" w:ascii="宋体" w:eastAsia="宋体"/>
          <w:color w:val="auto"/>
          <w:sz w:val="21"/>
          <w:szCs w:val="21"/>
          <w:highlight w:val="none"/>
          <w:lang w:val="en-US" w:eastAsia="zh-CN"/>
        </w:rPr>
        <w:t>__________</w:t>
      </w:r>
    </w:p>
    <w:p w14:paraId="325C068E">
      <w:pPr>
        <w:pStyle w:val="48"/>
        <w:spacing w:line="420" w:lineRule="atLeast"/>
        <w:ind w:firstLine="433"/>
        <w:rPr>
          <w:rFonts w:ascii="宋体" w:eastAsia="宋体"/>
          <w:color w:val="auto"/>
          <w:sz w:val="21"/>
          <w:szCs w:val="21"/>
          <w:highlight w:val="none"/>
        </w:rPr>
      </w:pPr>
      <w:r>
        <w:rPr>
          <w:rFonts w:hint="eastAsia" w:ascii="宋体" w:eastAsia="宋体"/>
          <w:color w:val="auto"/>
          <w:sz w:val="21"/>
          <w:szCs w:val="21"/>
          <w:highlight w:val="none"/>
        </w:rPr>
        <w:t>系（投标人名称）的法定代表人。</w:t>
      </w:r>
    </w:p>
    <w:p w14:paraId="50EA9968">
      <w:pPr>
        <w:spacing w:line="420" w:lineRule="atLeast"/>
        <w:ind w:firstLine="420" w:firstLineChars="200"/>
        <w:rPr>
          <w:rFonts w:ascii="宋体" w:hAnsi="宋体"/>
          <w:color w:val="auto"/>
          <w:szCs w:val="21"/>
          <w:highlight w:val="none"/>
        </w:rPr>
      </w:pPr>
      <w:r>
        <w:rPr>
          <w:rFonts w:hint="eastAsia" w:ascii="宋体" w:hAnsi="宋体"/>
          <w:color w:val="auto"/>
          <w:szCs w:val="21"/>
          <w:highlight w:val="none"/>
        </w:rPr>
        <w:t>特此证明。</w:t>
      </w:r>
    </w:p>
    <w:p w14:paraId="492C05D4">
      <w:pPr>
        <w:pStyle w:val="48"/>
        <w:spacing w:line="500" w:lineRule="atLeast"/>
        <w:ind w:firstLine="3517" w:firstLineChars="1675"/>
        <w:rPr>
          <w:rFonts w:ascii="宋体" w:eastAsia="宋体"/>
          <w:color w:val="auto"/>
          <w:sz w:val="21"/>
          <w:szCs w:val="21"/>
          <w:highlight w:val="none"/>
        </w:rPr>
      </w:pPr>
    </w:p>
    <w:p w14:paraId="301F922E">
      <w:pPr>
        <w:pStyle w:val="48"/>
        <w:spacing w:line="500" w:lineRule="atLeast"/>
        <w:ind w:firstLine="3517" w:firstLineChars="1675"/>
        <w:rPr>
          <w:rFonts w:ascii="宋体" w:eastAsia="宋体"/>
          <w:color w:val="auto"/>
          <w:sz w:val="21"/>
          <w:szCs w:val="21"/>
          <w:highlight w:val="none"/>
        </w:rPr>
      </w:pPr>
      <w:r>
        <w:rPr>
          <w:rFonts w:hint="eastAsia" w:ascii="宋体" w:eastAsia="宋体"/>
          <w:color w:val="auto"/>
          <w:sz w:val="21"/>
          <w:szCs w:val="21"/>
          <w:highlight w:val="none"/>
        </w:rPr>
        <w:t>投标人名称（加盖公章）：</w:t>
      </w:r>
    </w:p>
    <w:p w14:paraId="007A3CE6">
      <w:pPr>
        <w:pStyle w:val="48"/>
        <w:spacing w:line="500" w:lineRule="atLeast"/>
        <w:ind w:firstLine="3517" w:firstLineChars="1675"/>
        <w:rPr>
          <w:rFonts w:ascii="宋体" w:eastAsia="宋体"/>
          <w:color w:val="auto"/>
          <w:sz w:val="21"/>
          <w:szCs w:val="21"/>
          <w:highlight w:val="none"/>
        </w:rPr>
      </w:pPr>
      <w:r>
        <w:rPr>
          <w:rFonts w:hint="eastAsia" w:ascii="宋体" w:eastAsia="宋体"/>
          <w:color w:val="auto"/>
          <w:sz w:val="21"/>
          <w:szCs w:val="21"/>
          <w:highlight w:val="none"/>
        </w:rPr>
        <w:t>法定代表人（签名或盖私章）：</w:t>
      </w:r>
    </w:p>
    <w:p w14:paraId="076753DD">
      <w:pPr>
        <w:pStyle w:val="48"/>
        <w:spacing w:line="500" w:lineRule="atLeast"/>
        <w:ind w:firstLine="3517" w:firstLineChars="1675"/>
        <w:rPr>
          <w:rFonts w:ascii="宋体" w:eastAsia="宋体"/>
          <w:color w:val="auto"/>
          <w:sz w:val="21"/>
          <w:szCs w:val="21"/>
          <w:highlight w:val="none"/>
        </w:rPr>
      </w:pPr>
      <w:r>
        <w:rPr>
          <w:rFonts w:hint="eastAsia" w:ascii="宋体" w:eastAsia="宋体"/>
          <w:color w:val="auto"/>
          <w:sz w:val="21"/>
          <w:szCs w:val="21"/>
          <w:highlight w:val="none"/>
        </w:rPr>
        <w:t>法定代表人联系方式：</w:t>
      </w:r>
    </w:p>
    <w:p w14:paraId="736B5C01">
      <w:pPr>
        <w:pStyle w:val="48"/>
        <w:spacing w:line="500" w:lineRule="atLeast"/>
        <w:ind w:firstLine="3517" w:firstLineChars="1675"/>
        <w:rPr>
          <w:rFonts w:ascii="宋体" w:eastAsia="宋体"/>
          <w:color w:val="auto"/>
          <w:sz w:val="21"/>
          <w:szCs w:val="21"/>
          <w:highlight w:val="none"/>
          <w:u w:val="single"/>
        </w:rPr>
      </w:pPr>
      <w:r>
        <w:rPr>
          <w:rFonts w:hint="eastAsia" w:ascii="宋体" w:eastAsia="宋体"/>
          <w:color w:val="auto"/>
          <w:sz w:val="21"/>
          <w:szCs w:val="21"/>
          <w:highlight w:val="none"/>
        </w:rPr>
        <w:t>身份证号码：</w:t>
      </w:r>
    </w:p>
    <w:p w14:paraId="05CA8863">
      <w:pPr>
        <w:pStyle w:val="48"/>
        <w:spacing w:line="500" w:lineRule="atLeast"/>
        <w:ind w:firstLine="3507" w:firstLineChars="1670"/>
        <w:rPr>
          <w:rFonts w:ascii="宋体" w:eastAsia="宋体"/>
          <w:color w:val="auto"/>
          <w:sz w:val="21"/>
          <w:szCs w:val="21"/>
          <w:highlight w:val="none"/>
        </w:rPr>
      </w:pPr>
      <w:r>
        <w:rPr>
          <w:rFonts w:hint="eastAsia" w:ascii="宋体" w:eastAsia="宋体"/>
          <w:color w:val="auto"/>
          <w:sz w:val="21"/>
          <w:szCs w:val="21"/>
          <w:highlight w:val="none"/>
        </w:rPr>
        <w:t xml:space="preserve">日     期： </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 xml:space="preserve"> 年 </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 xml:space="preserve"> 月  </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日</w:t>
      </w:r>
    </w:p>
    <w:p w14:paraId="3EF453DD">
      <w:pPr>
        <w:ind w:firstLine="420" w:firstLineChars="200"/>
        <w:rPr>
          <w:rFonts w:ascii="宋体" w:hAnsi="宋体"/>
          <w:color w:val="auto"/>
          <w:szCs w:val="21"/>
          <w:highlight w:val="none"/>
        </w:rPr>
      </w:pPr>
    </w:p>
    <w:p w14:paraId="27ABC6D4">
      <w:pPr>
        <w:ind w:firstLine="420" w:firstLineChars="200"/>
        <w:rPr>
          <w:rFonts w:ascii="宋体" w:hAnsi="宋体"/>
          <w:color w:val="auto"/>
          <w:szCs w:val="21"/>
          <w:highlight w:val="none"/>
        </w:rPr>
      </w:pPr>
      <w:r>
        <w:rPr>
          <w:rFonts w:hint="eastAsia" w:ascii="宋体" w:hAnsi="宋体"/>
          <w:color w:val="auto"/>
          <w:szCs w:val="21"/>
          <w:highlight w:val="none"/>
        </w:rPr>
        <w:t>注：法定代表人身份证明书需附法人代表身份证复印件。</w:t>
      </w:r>
    </w:p>
    <w:tbl>
      <w:tblPr>
        <w:tblStyle w:val="32"/>
        <w:tblW w:w="8364"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182"/>
        <w:gridCol w:w="4182"/>
      </w:tblGrid>
      <w:tr w14:paraId="2782C57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517" w:hRule="atLeast"/>
          <w:jc w:val="center"/>
        </w:trPr>
        <w:tc>
          <w:tcPr>
            <w:tcW w:w="4182" w:type="dxa"/>
            <w:vAlign w:val="center"/>
          </w:tcPr>
          <w:p w14:paraId="0E47AEE6">
            <w:pPr>
              <w:pStyle w:val="48"/>
              <w:spacing w:line="460" w:lineRule="exact"/>
              <w:ind w:firstLine="0" w:firstLineChars="0"/>
              <w:jc w:val="center"/>
              <w:rPr>
                <w:rFonts w:ascii="宋体" w:eastAsia="宋体"/>
                <w:color w:val="auto"/>
                <w:sz w:val="22"/>
                <w:highlight w:val="none"/>
              </w:rPr>
            </w:pPr>
            <w:r>
              <w:rPr>
                <w:rFonts w:hint="eastAsia" w:ascii="宋体" w:eastAsia="宋体"/>
                <w:color w:val="auto"/>
                <w:sz w:val="22"/>
                <w:highlight w:val="none"/>
              </w:rPr>
              <w:t>正面</w:t>
            </w:r>
          </w:p>
        </w:tc>
        <w:tc>
          <w:tcPr>
            <w:tcW w:w="4182" w:type="dxa"/>
            <w:vAlign w:val="center"/>
          </w:tcPr>
          <w:p w14:paraId="636D4F1B">
            <w:pPr>
              <w:pStyle w:val="48"/>
              <w:spacing w:line="460" w:lineRule="exact"/>
              <w:ind w:firstLine="0" w:firstLineChars="0"/>
              <w:jc w:val="center"/>
              <w:rPr>
                <w:rFonts w:ascii="宋体" w:eastAsia="宋体"/>
                <w:color w:val="auto"/>
                <w:sz w:val="22"/>
                <w:highlight w:val="none"/>
              </w:rPr>
            </w:pPr>
            <w:r>
              <w:rPr>
                <w:rFonts w:hint="eastAsia" w:ascii="宋体" w:eastAsia="宋体"/>
                <w:color w:val="auto"/>
                <w:sz w:val="22"/>
                <w:highlight w:val="none"/>
              </w:rPr>
              <w:t>背面</w:t>
            </w:r>
          </w:p>
        </w:tc>
      </w:tr>
    </w:tbl>
    <w:p w14:paraId="1FB059C3">
      <w:pPr>
        <w:rPr>
          <w:color w:val="auto"/>
          <w:highlight w:val="none"/>
        </w:rPr>
      </w:pPr>
    </w:p>
    <w:p w14:paraId="24C80DFF">
      <w:pPr>
        <w:adjustRightInd/>
        <w:snapToGrid/>
        <w:spacing w:line="276" w:lineRule="auto"/>
        <w:rPr>
          <w:rFonts w:ascii="楷体_GB2312" w:eastAsia="楷体_GB2312" w:hAnsiTheme="majorHAnsi" w:cstheme="majorBidi"/>
          <w:b/>
          <w:bCs/>
          <w:color w:val="auto"/>
          <w:sz w:val="24"/>
          <w:szCs w:val="28"/>
          <w:highlight w:val="none"/>
        </w:rPr>
      </w:pPr>
      <w:r>
        <w:rPr>
          <w:rFonts w:ascii="楷体_GB2312" w:eastAsia="楷体_GB2312"/>
          <w:color w:val="auto"/>
          <w:sz w:val="24"/>
          <w:highlight w:val="none"/>
        </w:rPr>
        <w:br w:type="page"/>
      </w:r>
    </w:p>
    <w:p w14:paraId="6A9A49F5">
      <w:pPr>
        <w:pStyle w:val="8"/>
        <w:widowControl w:val="0"/>
        <w:overflowPunct w:val="0"/>
        <w:spacing w:line="240" w:lineRule="auto"/>
        <w:rPr>
          <w:color w:val="auto"/>
          <w:highlight w:val="none"/>
        </w:rPr>
      </w:pPr>
      <w:bookmarkStart w:id="213" w:name="_Toc977"/>
      <w:bookmarkStart w:id="214" w:name="_Toc19149"/>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6</w:t>
      </w:r>
      <w:r>
        <w:rPr>
          <w:rFonts w:hint="eastAsia" w:ascii="宋体" w:hAnsi="宋体"/>
          <w:color w:val="auto"/>
          <w:sz w:val="21"/>
          <w:szCs w:val="21"/>
          <w:highlight w:val="none"/>
        </w:rPr>
        <w:t>.法定代表人授权书格式</w:t>
      </w:r>
      <w:bookmarkEnd w:id="213"/>
      <w:bookmarkEnd w:id="214"/>
    </w:p>
    <w:p w14:paraId="4F99E018">
      <w:pPr>
        <w:rPr>
          <w:color w:val="auto"/>
          <w:highlight w:val="none"/>
        </w:rPr>
      </w:pPr>
    </w:p>
    <w:p w14:paraId="6871108B">
      <w:pPr>
        <w:jc w:val="center"/>
        <w:rPr>
          <w:rFonts w:ascii="黑体" w:eastAsia="黑体"/>
          <w:color w:val="auto"/>
          <w:sz w:val="28"/>
          <w:szCs w:val="28"/>
          <w:highlight w:val="none"/>
        </w:rPr>
      </w:pPr>
      <w:r>
        <w:rPr>
          <w:rFonts w:hint="eastAsia" w:ascii="黑体" w:eastAsia="黑体"/>
          <w:color w:val="auto"/>
          <w:sz w:val="28"/>
          <w:szCs w:val="28"/>
          <w:highlight w:val="none"/>
        </w:rPr>
        <w:t>法定代表人授权书</w:t>
      </w:r>
    </w:p>
    <w:p w14:paraId="60DFF79F">
      <w:pPr>
        <w:pStyle w:val="48"/>
        <w:spacing w:after="181" w:afterLines="50" w:line="360" w:lineRule="auto"/>
        <w:ind w:firstLine="0" w:firstLineChars="0"/>
        <w:rPr>
          <w:rFonts w:hint="eastAsia" w:ascii="宋体" w:eastAsia="宋体"/>
          <w:color w:val="auto"/>
          <w:sz w:val="21"/>
          <w:szCs w:val="21"/>
          <w:highlight w:val="none"/>
          <w:lang w:eastAsia="zh-CN"/>
        </w:rPr>
      </w:pPr>
      <w:r>
        <w:rPr>
          <w:rFonts w:hint="eastAsia" w:ascii="宋体" w:eastAsia="宋体"/>
          <w:color w:val="auto"/>
          <w:sz w:val="21"/>
          <w:szCs w:val="21"/>
          <w:highlight w:val="none"/>
        </w:rPr>
        <w:t>致：</w:t>
      </w:r>
      <w:r>
        <w:rPr>
          <w:rFonts w:hint="eastAsia" w:ascii="宋体" w:eastAsia="宋体"/>
          <w:color w:val="auto"/>
          <w:sz w:val="21"/>
          <w:szCs w:val="21"/>
          <w:highlight w:val="none"/>
          <w:lang w:eastAsia="zh-CN"/>
        </w:rPr>
        <w:t>广州宏达工程顾问集团有限公司</w:t>
      </w:r>
    </w:p>
    <w:p w14:paraId="52ADDA32">
      <w:pPr>
        <w:snapToGrid/>
        <w:ind w:firstLine="420" w:firstLineChars="200"/>
        <w:rPr>
          <w:rFonts w:ascii="宋体" w:hAnsi="宋体" w:cs="Times New Roman"/>
          <w:color w:val="auto"/>
          <w:szCs w:val="21"/>
          <w:highlight w:val="none"/>
        </w:rPr>
      </w:pPr>
      <w:r>
        <w:rPr>
          <w:rFonts w:hint="eastAsia" w:ascii="宋体" w:hAnsi="宋体" w:cs="Times New Roman"/>
          <w:color w:val="auto"/>
          <w:szCs w:val="21"/>
          <w:highlight w:val="none"/>
        </w:rPr>
        <w:t>本授权书声明：注册于</w:t>
      </w:r>
      <w:r>
        <w:rPr>
          <w:rFonts w:hint="eastAsia" w:ascii="宋体" w:hAnsi="宋体" w:cs="Times New Roman"/>
          <w:color w:val="auto"/>
          <w:szCs w:val="21"/>
          <w:highlight w:val="none"/>
          <w:u w:val="single"/>
        </w:rPr>
        <w:t>（国家或地区的名称）</w:t>
      </w:r>
      <w:r>
        <w:rPr>
          <w:rFonts w:hint="eastAsia" w:ascii="宋体" w:hAnsi="宋体" w:cs="Times New Roman"/>
          <w:color w:val="auto"/>
          <w:szCs w:val="21"/>
          <w:highlight w:val="none"/>
        </w:rPr>
        <w:t>的</w:t>
      </w:r>
      <w:r>
        <w:rPr>
          <w:rFonts w:hint="eastAsia" w:ascii="宋体" w:hAnsi="宋体" w:cs="Times New Roman"/>
          <w:color w:val="auto"/>
          <w:szCs w:val="21"/>
          <w:highlight w:val="none"/>
          <w:u w:val="single"/>
        </w:rPr>
        <w:t>（单位名称）</w:t>
      </w:r>
      <w:r>
        <w:rPr>
          <w:rFonts w:hint="eastAsia" w:ascii="宋体" w:hAnsi="宋体" w:cs="Times New Roman"/>
          <w:color w:val="auto"/>
          <w:szCs w:val="21"/>
          <w:highlight w:val="none"/>
        </w:rPr>
        <w:t>的在下面签字的</w:t>
      </w:r>
      <w:r>
        <w:rPr>
          <w:rFonts w:hint="eastAsia" w:ascii="宋体" w:hAnsi="宋体" w:cs="Times New Roman"/>
          <w:color w:val="auto"/>
          <w:szCs w:val="21"/>
          <w:highlight w:val="none"/>
          <w:u w:val="single"/>
        </w:rPr>
        <w:t>（法定代表人姓名、职务）</w:t>
      </w:r>
      <w:r>
        <w:rPr>
          <w:rFonts w:hint="eastAsia" w:ascii="宋体" w:hAnsi="宋体" w:cs="Times New Roman"/>
          <w:color w:val="auto"/>
          <w:szCs w:val="21"/>
          <w:highlight w:val="none"/>
        </w:rPr>
        <w:t>代表本单位授权</w:t>
      </w:r>
      <w:r>
        <w:rPr>
          <w:rFonts w:hint="eastAsia" w:ascii="宋体" w:hAnsi="宋体" w:cs="Times New Roman"/>
          <w:color w:val="auto"/>
          <w:szCs w:val="21"/>
          <w:highlight w:val="none"/>
          <w:u w:val="single"/>
        </w:rPr>
        <w:t>（单位名称）</w:t>
      </w:r>
      <w:r>
        <w:rPr>
          <w:rFonts w:hint="eastAsia" w:ascii="宋体" w:hAnsi="宋体" w:cs="Times New Roman"/>
          <w:color w:val="auto"/>
          <w:szCs w:val="21"/>
          <w:highlight w:val="none"/>
        </w:rPr>
        <w:t>的在下面签字的</w:t>
      </w:r>
      <w:r>
        <w:rPr>
          <w:rFonts w:hint="eastAsia" w:ascii="宋体" w:hAnsi="宋体" w:cs="Times New Roman"/>
          <w:color w:val="auto"/>
          <w:szCs w:val="21"/>
          <w:highlight w:val="none"/>
          <w:u w:val="single"/>
        </w:rPr>
        <w:t>（被授权人的姓名、职务）</w:t>
      </w:r>
      <w:r>
        <w:rPr>
          <w:rFonts w:hint="eastAsia" w:ascii="宋体" w:hAnsi="宋体" w:cs="Times New Roman"/>
          <w:color w:val="auto"/>
          <w:szCs w:val="21"/>
          <w:highlight w:val="none"/>
        </w:rPr>
        <w:t>为本单位的合法代理人，就</w:t>
      </w:r>
      <w:r>
        <w:rPr>
          <w:rFonts w:hint="eastAsia" w:ascii="宋体" w:hAnsi="宋体" w:cs="Times New Roman"/>
          <w:color w:val="auto"/>
          <w:szCs w:val="21"/>
          <w:highlight w:val="none"/>
          <w:u w:val="single"/>
        </w:rPr>
        <w:t>（项目名称）</w:t>
      </w:r>
      <w:r>
        <w:rPr>
          <w:rFonts w:hint="eastAsia" w:ascii="宋体" w:hAnsi="宋体" w:cs="Times New Roman"/>
          <w:color w:val="auto"/>
          <w:szCs w:val="21"/>
          <w:highlight w:val="none"/>
        </w:rPr>
        <w:t>投标及参加项目谈判，以本单位名义处理一切与之有关的事务。</w:t>
      </w:r>
    </w:p>
    <w:p w14:paraId="2F80F305">
      <w:pPr>
        <w:snapToGrid/>
        <w:ind w:firstLine="315" w:firstLineChars="150"/>
        <w:rPr>
          <w:rFonts w:ascii="宋体" w:hAnsi="宋体" w:cs="Times New Roman"/>
          <w:color w:val="auto"/>
          <w:szCs w:val="21"/>
          <w:highlight w:val="none"/>
        </w:rPr>
      </w:pPr>
      <w:r>
        <w:rPr>
          <w:rFonts w:hint="eastAsia" w:ascii="宋体" w:hAnsi="宋体" w:cs="Times New Roman"/>
          <w:color w:val="auto"/>
          <w:szCs w:val="21"/>
          <w:highlight w:val="none"/>
        </w:rPr>
        <w:t>本授权书于</w:t>
      </w:r>
      <w:r>
        <w:rPr>
          <w:rFonts w:hint="eastAsia" w:ascii="宋体" w:hAnsi="宋体" w:cs="Times New Roman"/>
          <w:color w:val="auto"/>
          <w:szCs w:val="21"/>
          <w:highlight w:val="none"/>
          <w:u w:val="single"/>
        </w:rPr>
        <w:t>　　</w:t>
      </w:r>
      <w:r>
        <w:rPr>
          <w:rFonts w:hint="eastAsia" w:ascii="宋体" w:hAnsi="宋体" w:cs="Times New Roman"/>
          <w:color w:val="auto"/>
          <w:szCs w:val="21"/>
          <w:highlight w:val="none"/>
        </w:rPr>
        <w:t>年</w:t>
      </w:r>
      <w:r>
        <w:rPr>
          <w:rFonts w:hint="eastAsia" w:ascii="宋体" w:hAnsi="宋体" w:cs="Times New Roman"/>
          <w:color w:val="auto"/>
          <w:szCs w:val="21"/>
          <w:highlight w:val="none"/>
          <w:u w:val="single"/>
        </w:rPr>
        <w:t>　　</w:t>
      </w:r>
      <w:r>
        <w:rPr>
          <w:rFonts w:hint="eastAsia" w:ascii="宋体" w:hAnsi="宋体" w:cs="Times New Roman"/>
          <w:color w:val="auto"/>
          <w:szCs w:val="21"/>
          <w:highlight w:val="none"/>
        </w:rPr>
        <w:t>月</w:t>
      </w:r>
      <w:r>
        <w:rPr>
          <w:rFonts w:hint="eastAsia" w:ascii="宋体" w:hAnsi="宋体" w:cs="Times New Roman"/>
          <w:color w:val="auto"/>
          <w:szCs w:val="21"/>
          <w:highlight w:val="none"/>
          <w:u w:val="single"/>
        </w:rPr>
        <w:t>　　</w:t>
      </w:r>
      <w:r>
        <w:rPr>
          <w:rFonts w:hint="eastAsia" w:ascii="宋体" w:hAnsi="宋体" w:cs="Times New Roman"/>
          <w:color w:val="auto"/>
          <w:szCs w:val="21"/>
          <w:highlight w:val="none"/>
        </w:rPr>
        <w:t>日签字生效，特此声明。</w:t>
      </w:r>
    </w:p>
    <w:p w14:paraId="1C45E252">
      <w:pPr>
        <w:pStyle w:val="48"/>
        <w:spacing w:line="500" w:lineRule="atLeast"/>
        <w:ind w:firstLine="3517" w:firstLineChars="1675"/>
        <w:rPr>
          <w:rFonts w:ascii="宋体" w:eastAsia="宋体"/>
          <w:color w:val="auto"/>
          <w:sz w:val="21"/>
          <w:szCs w:val="21"/>
          <w:highlight w:val="none"/>
        </w:rPr>
      </w:pPr>
    </w:p>
    <w:p w14:paraId="0748B713">
      <w:pPr>
        <w:pStyle w:val="48"/>
        <w:spacing w:line="500" w:lineRule="atLeast"/>
        <w:ind w:firstLine="3517" w:firstLineChars="1675"/>
        <w:rPr>
          <w:rFonts w:ascii="宋体" w:eastAsia="宋体"/>
          <w:color w:val="auto"/>
          <w:sz w:val="21"/>
          <w:szCs w:val="21"/>
          <w:highlight w:val="none"/>
        </w:rPr>
      </w:pPr>
      <w:r>
        <w:rPr>
          <w:rFonts w:hint="eastAsia" w:ascii="宋体" w:eastAsia="宋体"/>
          <w:color w:val="auto"/>
          <w:sz w:val="21"/>
          <w:szCs w:val="21"/>
          <w:highlight w:val="none"/>
        </w:rPr>
        <w:t>投标人名称（加盖公章）：</w:t>
      </w:r>
    </w:p>
    <w:p w14:paraId="52C0B15B">
      <w:pPr>
        <w:pStyle w:val="48"/>
        <w:spacing w:line="500" w:lineRule="atLeast"/>
        <w:ind w:firstLine="3517" w:firstLineChars="1675"/>
        <w:rPr>
          <w:rFonts w:ascii="宋体" w:eastAsia="宋体"/>
          <w:color w:val="auto"/>
          <w:sz w:val="21"/>
          <w:szCs w:val="21"/>
          <w:highlight w:val="none"/>
          <w:u w:val="single"/>
        </w:rPr>
      </w:pPr>
      <w:r>
        <w:rPr>
          <w:rFonts w:hint="eastAsia" w:ascii="宋体" w:eastAsia="宋体"/>
          <w:color w:val="auto"/>
          <w:sz w:val="21"/>
          <w:szCs w:val="21"/>
          <w:highlight w:val="none"/>
        </w:rPr>
        <w:t>法定代表人签字（签名或盖私章）：</w:t>
      </w:r>
    </w:p>
    <w:p w14:paraId="71AA796C">
      <w:pPr>
        <w:pStyle w:val="48"/>
        <w:spacing w:line="500" w:lineRule="atLeast"/>
        <w:ind w:firstLine="3517" w:firstLineChars="1675"/>
        <w:rPr>
          <w:rFonts w:ascii="宋体" w:eastAsia="宋体"/>
          <w:color w:val="auto"/>
          <w:sz w:val="21"/>
          <w:szCs w:val="21"/>
          <w:highlight w:val="none"/>
        </w:rPr>
      </w:pPr>
      <w:r>
        <w:rPr>
          <w:rFonts w:hint="eastAsia" w:ascii="宋体" w:eastAsia="宋体"/>
          <w:color w:val="auto"/>
          <w:sz w:val="21"/>
          <w:szCs w:val="21"/>
          <w:highlight w:val="none"/>
        </w:rPr>
        <w:t>被授权人签字：</w:t>
      </w:r>
    </w:p>
    <w:p w14:paraId="1CE601FE">
      <w:pPr>
        <w:pStyle w:val="48"/>
        <w:spacing w:line="500" w:lineRule="atLeast"/>
        <w:ind w:firstLine="3517" w:firstLineChars="1675"/>
        <w:rPr>
          <w:rFonts w:ascii="宋体" w:eastAsia="宋体"/>
          <w:color w:val="auto"/>
          <w:sz w:val="21"/>
          <w:szCs w:val="21"/>
          <w:highlight w:val="none"/>
          <w:u w:val="single"/>
        </w:rPr>
      </w:pPr>
      <w:r>
        <w:rPr>
          <w:rFonts w:hint="eastAsia" w:ascii="宋体" w:eastAsia="宋体"/>
          <w:color w:val="auto"/>
          <w:sz w:val="21"/>
          <w:szCs w:val="21"/>
          <w:highlight w:val="none"/>
        </w:rPr>
        <w:t>职务：</w:t>
      </w:r>
    </w:p>
    <w:p w14:paraId="0BE32AFD">
      <w:pPr>
        <w:pStyle w:val="48"/>
        <w:spacing w:line="500" w:lineRule="atLeast"/>
        <w:ind w:firstLine="3517" w:firstLineChars="1675"/>
        <w:rPr>
          <w:rFonts w:ascii="宋体" w:eastAsia="宋体"/>
          <w:color w:val="auto"/>
          <w:sz w:val="21"/>
          <w:szCs w:val="21"/>
          <w:highlight w:val="none"/>
        </w:rPr>
      </w:pPr>
      <w:r>
        <w:rPr>
          <w:rFonts w:hint="eastAsia" w:ascii="宋体" w:eastAsia="宋体"/>
          <w:color w:val="auto"/>
          <w:sz w:val="21"/>
          <w:szCs w:val="21"/>
          <w:highlight w:val="none"/>
        </w:rPr>
        <w:t xml:space="preserve">移动电话： </w:t>
      </w:r>
    </w:p>
    <w:p w14:paraId="23069398">
      <w:pPr>
        <w:pStyle w:val="48"/>
        <w:spacing w:line="500" w:lineRule="atLeast"/>
        <w:ind w:firstLine="3517" w:firstLineChars="1675"/>
        <w:rPr>
          <w:rFonts w:ascii="宋体" w:eastAsia="宋体"/>
          <w:color w:val="auto"/>
          <w:sz w:val="21"/>
          <w:szCs w:val="21"/>
          <w:highlight w:val="none"/>
        </w:rPr>
      </w:pPr>
      <w:r>
        <w:rPr>
          <w:rFonts w:hint="eastAsia" w:ascii="宋体" w:eastAsia="宋体"/>
          <w:color w:val="auto"/>
          <w:sz w:val="21"/>
          <w:szCs w:val="21"/>
          <w:highlight w:val="none"/>
        </w:rPr>
        <w:t>详细通讯地址：</w:t>
      </w:r>
    </w:p>
    <w:p w14:paraId="0072F2F1">
      <w:pPr>
        <w:pStyle w:val="48"/>
        <w:spacing w:line="500" w:lineRule="atLeast"/>
        <w:ind w:firstLine="3517" w:firstLineChars="1675"/>
        <w:rPr>
          <w:rFonts w:ascii="宋体" w:eastAsia="宋体"/>
          <w:color w:val="auto"/>
          <w:sz w:val="21"/>
          <w:szCs w:val="21"/>
          <w:highlight w:val="none"/>
        </w:rPr>
      </w:pPr>
      <w:r>
        <w:rPr>
          <w:rFonts w:hint="eastAsia" w:ascii="宋体" w:eastAsia="宋体"/>
          <w:color w:val="auto"/>
          <w:sz w:val="21"/>
          <w:szCs w:val="21"/>
          <w:highlight w:val="none"/>
        </w:rPr>
        <w:t>邮箱：</w:t>
      </w:r>
    </w:p>
    <w:p w14:paraId="5D1DAE1A">
      <w:pPr>
        <w:pStyle w:val="48"/>
        <w:spacing w:line="500" w:lineRule="atLeast"/>
        <w:ind w:firstLine="3507" w:firstLineChars="1670"/>
        <w:rPr>
          <w:rFonts w:ascii="宋体" w:eastAsia="宋体"/>
          <w:color w:val="auto"/>
          <w:sz w:val="21"/>
          <w:szCs w:val="21"/>
          <w:highlight w:val="none"/>
        </w:rPr>
      </w:pPr>
      <w:r>
        <w:rPr>
          <w:rFonts w:hint="eastAsia" w:ascii="宋体" w:eastAsia="宋体"/>
          <w:color w:val="auto"/>
          <w:sz w:val="21"/>
          <w:szCs w:val="21"/>
          <w:highlight w:val="none"/>
        </w:rPr>
        <w:t xml:space="preserve">日期： </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 xml:space="preserve"> 年 </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 xml:space="preserve"> 月  </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日</w:t>
      </w:r>
    </w:p>
    <w:p w14:paraId="01C48976">
      <w:pPr>
        <w:pStyle w:val="48"/>
        <w:spacing w:line="460" w:lineRule="exact"/>
        <w:ind w:firstLine="433"/>
        <w:rPr>
          <w:rFonts w:ascii="宋体" w:eastAsia="宋体"/>
          <w:color w:val="auto"/>
          <w:sz w:val="21"/>
          <w:szCs w:val="21"/>
          <w:highlight w:val="none"/>
        </w:rPr>
      </w:pPr>
    </w:p>
    <w:p w14:paraId="75E98BB1">
      <w:pPr>
        <w:ind w:firstLine="420" w:firstLineChars="200"/>
        <w:rPr>
          <w:color w:val="auto"/>
          <w:highlight w:val="none"/>
        </w:rPr>
      </w:pPr>
      <w:r>
        <w:rPr>
          <w:rFonts w:hint="eastAsia" w:ascii="宋体" w:hAnsi="宋体"/>
          <w:color w:val="auto"/>
          <w:szCs w:val="21"/>
          <w:highlight w:val="none"/>
        </w:rPr>
        <w:t>须附：被授权人身份证复印件。</w:t>
      </w:r>
    </w:p>
    <w:tbl>
      <w:tblPr>
        <w:tblStyle w:val="32"/>
        <w:tblW w:w="8464"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32"/>
        <w:gridCol w:w="4232"/>
      </w:tblGrid>
      <w:tr w14:paraId="62672650">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661" w:hRule="atLeast"/>
          <w:jc w:val="center"/>
        </w:trPr>
        <w:tc>
          <w:tcPr>
            <w:tcW w:w="4232" w:type="dxa"/>
            <w:vAlign w:val="center"/>
          </w:tcPr>
          <w:p w14:paraId="78CE4999">
            <w:pPr>
              <w:pStyle w:val="48"/>
              <w:spacing w:line="460" w:lineRule="exact"/>
              <w:ind w:firstLine="0" w:firstLineChars="0"/>
              <w:jc w:val="center"/>
              <w:rPr>
                <w:rFonts w:ascii="宋体" w:eastAsia="宋体"/>
                <w:color w:val="auto"/>
                <w:sz w:val="22"/>
                <w:highlight w:val="none"/>
              </w:rPr>
            </w:pPr>
            <w:r>
              <w:rPr>
                <w:rFonts w:hint="eastAsia" w:ascii="宋体" w:eastAsia="宋体"/>
                <w:color w:val="auto"/>
                <w:sz w:val="22"/>
                <w:highlight w:val="none"/>
              </w:rPr>
              <w:t>正面</w:t>
            </w:r>
          </w:p>
        </w:tc>
        <w:tc>
          <w:tcPr>
            <w:tcW w:w="4232" w:type="dxa"/>
            <w:vAlign w:val="center"/>
          </w:tcPr>
          <w:p w14:paraId="09C969FE">
            <w:pPr>
              <w:pStyle w:val="48"/>
              <w:spacing w:line="460" w:lineRule="exact"/>
              <w:ind w:firstLine="0" w:firstLineChars="0"/>
              <w:jc w:val="center"/>
              <w:rPr>
                <w:rFonts w:ascii="宋体" w:eastAsia="宋体"/>
                <w:color w:val="auto"/>
                <w:sz w:val="22"/>
                <w:highlight w:val="none"/>
              </w:rPr>
            </w:pPr>
            <w:r>
              <w:rPr>
                <w:rFonts w:hint="eastAsia" w:ascii="宋体" w:eastAsia="宋体"/>
                <w:color w:val="auto"/>
                <w:sz w:val="22"/>
                <w:highlight w:val="none"/>
              </w:rPr>
              <w:t>背面</w:t>
            </w:r>
          </w:p>
        </w:tc>
      </w:tr>
    </w:tbl>
    <w:p w14:paraId="466B6C1C">
      <w:pPr>
        <w:adjustRightInd/>
        <w:snapToGrid/>
        <w:spacing w:line="276" w:lineRule="auto"/>
        <w:rPr>
          <w:color w:val="auto"/>
          <w:highlight w:val="none"/>
        </w:rPr>
      </w:pPr>
      <w:bookmarkStart w:id="215" w:name="_Toc22486"/>
      <w:r>
        <w:rPr>
          <w:rFonts w:hint="eastAsia" w:ascii="宋体" w:hAnsi="宋体"/>
          <w:color w:val="auto"/>
          <w:szCs w:val="21"/>
          <w:highlight w:val="none"/>
        </w:rPr>
        <w:br w:type="page"/>
      </w:r>
    </w:p>
    <w:p w14:paraId="456FDF7C">
      <w:pPr>
        <w:pStyle w:val="8"/>
        <w:widowControl w:val="0"/>
        <w:overflowPunct w:val="0"/>
        <w:spacing w:line="240" w:lineRule="auto"/>
        <w:rPr>
          <w:rFonts w:ascii="宋体" w:hAnsi="宋体"/>
          <w:color w:val="auto"/>
          <w:sz w:val="21"/>
          <w:szCs w:val="21"/>
          <w:highlight w:val="none"/>
        </w:rPr>
      </w:pPr>
      <w:bookmarkStart w:id="216" w:name="_Toc8215"/>
      <w:bookmarkStart w:id="217" w:name="_Toc30038"/>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7</w:t>
      </w:r>
      <w:r>
        <w:rPr>
          <w:rFonts w:hint="eastAsia" w:ascii="宋体" w:hAnsi="宋体"/>
          <w:color w:val="auto"/>
          <w:sz w:val="21"/>
          <w:szCs w:val="21"/>
          <w:highlight w:val="none"/>
        </w:rPr>
        <w:t>.资格申明</w:t>
      </w:r>
      <w:bookmarkEnd w:id="216"/>
      <w:bookmarkEnd w:id="217"/>
    </w:p>
    <w:p w14:paraId="4200C937">
      <w:pPr>
        <w:jc w:val="center"/>
        <w:rPr>
          <w:rFonts w:ascii="黑体" w:eastAsia="黑体"/>
          <w:color w:val="auto"/>
          <w:sz w:val="28"/>
          <w:szCs w:val="28"/>
          <w:highlight w:val="none"/>
        </w:rPr>
      </w:pPr>
      <w:r>
        <w:rPr>
          <w:rFonts w:hint="eastAsia" w:ascii="黑体" w:eastAsia="黑体"/>
          <w:color w:val="auto"/>
          <w:sz w:val="28"/>
          <w:szCs w:val="28"/>
          <w:highlight w:val="none"/>
        </w:rPr>
        <w:t>资格申明</w:t>
      </w:r>
    </w:p>
    <w:p w14:paraId="2C7D04AB">
      <w:pPr>
        <w:pStyle w:val="48"/>
        <w:spacing w:line="420" w:lineRule="atLeast"/>
        <w:ind w:firstLine="0" w:firstLineChars="0"/>
        <w:rPr>
          <w:rFonts w:ascii="宋体" w:eastAsia="宋体"/>
          <w:color w:val="auto"/>
          <w:sz w:val="21"/>
          <w:szCs w:val="21"/>
          <w:highlight w:val="none"/>
        </w:rPr>
      </w:pP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u w:val="single"/>
          <w:lang w:val="en-US" w:eastAsia="zh-CN"/>
        </w:rPr>
        <w:t xml:space="preserve">   </w:t>
      </w: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rPr>
        <w:t>公司：</w:t>
      </w:r>
    </w:p>
    <w:p w14:paraId="2A8FF63B">
      <w:pPr>
        <w:ind w:firstLine="420" w:firstLineChars="200"/>
        <w:rPr>
          <w:rFonts w:ascii="宋体" w:hAnsi="宋体"/>
          <w:color w:val="auto"/>
          <w:szCs w:val="21"/>
          <w:highlight w:val="none"/>
        </w:rPr>
      </w:pPr>
    </w:p>
    <w:p w14:paraId="74C0FF4F">
      <w:pPr>
        <w:snapToGrid/>
        <w:ind w:firstLine="420" w:firstLineChars="200"/>
        <w:rPr>
          <w:rFonts w:ascii="宋体" w:hAnsi="宋体"/>
          <w:color w:val="auto"/>
          <w:szCs w:val="21"/>
          <w:highlight w:val="none"/>
        </w:rPr>
      </w:pPr>
      <w:r>
        <w:rPr>
          <w:rFonts w:hint="eastAsia" w:ascii="宋体" w:hAnsi="宋体"/>
          <w:color w:val="auto"/>
          <w:szCs w:val="21"/>
          <w:highlight w:val="none"/>
        </w:rPr>
        <w:t>我方</w:t>
      </w:r>
      <w:r>
        <w:rPr>
          <w:rFonts w:ascii="宋体" w:hAnsi="宋体"/>
          <w:color w:val="auto"/>
          <w:szCs w:val="21"/>
          <w:highlight w:val="none"/>
        </w:rPr>
        <w:t>愿响应</w:t>
      </w:r>
      <w:r>
        <w:rPr>
          <w:rFonts w:hint="eastAsia" w:ascii="宋体" w:hAnsi="宋体"/>
          <w:color w:val="auto"/>
          <w:szCs w:val="21"/>
          <w:highlight w:val="none"/>
        </w:rPr>
        <w:t>贵</w:t>
      </w:r>
      <w:r>
        <w:rPr>
          <w:rFonts w:ascii="宋体" w:hAnsi="宋体"/>
          <w:color w:val="auto"/>
          <w:szCs w:val="21"/>
          <w:highlight w:val="none"/>
        </w:rPr>
        <w:t>方</w:t>
      </w:r>
      <w:r>
        <w:rPr>
          <w:rFonts w:hint="eastAsia" w:ascii="宋体" w:hAnsi="宋体"/>
          <w:color w:val="auto"/>
          <w:szCs w:val="21"/>
          <w:highlight w:val="none"/>
        </w:rPr>
        <w:t>关于（项目名称：</w:t>
      </w:r>
      <w:r>
        <w:rPr>
          <w:rFonts w:hint="eastAsia" w:ascii="宋体" w:hAnsi="宋体"/>
          <w:color w:val="auto"/>
          <w:szCs w:val="21"/>
          <w:highlight w:val="none"/>
          <w:u w:val="single"/>
        </w:rPr>
        <w:t xml:space="preserve">         </w:t>
      </w:r>
      <w:r>
        <w:rPr>
          <w:rFonts w:hint="eastAsia" w:ascii="宋体" w:hAnsi="宋体"/>
          <w:color w:val="auto"/>
          <w:szCs w:val="21"/>
          <w:highlight w:val="none"/>
        </w:rPr>
        <w:t>）</w:t>
      </w:r>
      <w:r>
        <w:rPr>
          <w:rFonts w:ascii="宋体" w:hAnsi="宋体"/>
          <w:color w:val="auto"/>
          <w:szCs w:val="21"/>
          <w:highlight w:val="none"/>
        </w:rPr>
        <w:t>（</w:t>
      </w:r>
      <w:r>
        <w:rPr>
          <w:rFonts w:hint="eastAsia" w:ascii="宋体" w:hAnsi="宋体"/>
          <w:color w:val="auto"/>
          <w:szCs w:val="21"/>
          <w:highlight w:val="none"/>
        </w:rPr>
        <w:t>采购项目编号：</w:t>
      </w:r>
      <w:r>
        <w:rPr>
          <w:rFonts w:hint="eastAsia" w:ascii="宋体" w:hAnsi="宋体"/>
          <w:color w:val="auto"/>
          <w:szCs w:val="21"/>
          <w:highlight w:val="none"/>
          <w:u w:val="single"/>
        </w:rPr>
        <w:t xml:space="preserve">        </w:t>
      </w:r>
      <w:r>
        <w:rPr>
          <w:rFonts w:ascii="宋体" w:hAnsi="宋体"/>
          <w:color w:val="auto"/>
          <w:szCs w:val="21"/>
          <w:highlight w:val="none"/>
        </w:rPr>
        <w:t>）</w:t>
      </w:r>
      <w:r>
        <w:rPr>
          <w:rFonts w:hint="eastAsia" w:ascii="宋体" w:hAnsi="宋体"/>
          <w:color w:val="auto"/>
          <w:szCs w:val="21"/>
          <w:highlight w:val="none"/>
        </w:rPr>
        <w:t>的</w:t>
      </w:r>
      <w:r>
        <w:rPr>
          <w:rFonts w:ascii="宋体" w:hAnsi="宋体"/>
          <w:color w:val="auto"/>
          <w:szCs w:val="21"/>
          <w:highlight w:val="none"/>
        </w:rPr>
        <w:t>投标邀请，参与投标，提供用户需求书中规定的</w:t>
      </w:r>
      <w:r>
        <w:rPr>
          <w:rFonts w:hint="eastAsia" w:ascii="宋体" w:hAnsi="宋体"/>
          <w:color w:val="auto"/>
          <w:szCs w:val="21"/>
          <w:highlight w:val="none"/>
        </w:rPr>
        <w:t>货物及相关服务</w:t>
      </w:r>
      <w:r>
        <w:rPr>
          <w:rFonts w:ascii="宋体" w:hAnsi="宋体"/>
          <w:color w:val="auto"/>
          <w:szCs w:val="21"/>
          <w:highlight w:val="none"/>
        </w:rPr>
        <w:t>，并按</w:t>
      </w:r>
      <w:r>
        <w:rPr>
          <w:rFonts w:hint="eastAsia" w:ascii="宋体" w:hAnsi="宋体"/>
          <w:color w:val="auto"/>
          <w:szCs w:val="21"/>
          <w:highlight w:val="none"/>
        </w:rPr>
        <w:t>采购</w:t>
      </w:r>
      <w:r>
        <w:rPr>
          <w:rFonts w:ascii="宋体" w:hAnsi="宋体"/>
          <w:color w:val="auto"/>
          <w:szCs w:val="21"/>
          <w:highlight w:val="none"/>
        </w:rPr>
        <w:t>文件要求提交所附资格文件且声明和保证如下：</w:t>
      </w:r>
    </w:p>
    <w:p w14:paraId="19EDDDCB">
      <w:pPr>
        <w:snapToGrid/>
        <w:ind w:firstLine="420" w:firstLineChars="200"/>
        <w:rPr>
          <w:rFonts w:ascii="宋体" w:hAnsi="宋体"/>
          <w:color w:val="auto"/>
          <w:szCs w:val="21"/>
          <w:highlight w:val="none"/>
        </w:rPr>
      </w:pPr>
      <w:r>
        <w:rPr>
          <w:rFonts w:hint="eastAsia" w:ascii="宋体" w:hAnsi="宋体"/>
          <w:color w:val="auto"/>
          <w:szCs w:val="21"/>
          <w:highlight w:val="none"/>
        </w:rPr>
        <w:t>一、我方具备投标人邀请中所要求得资格条件，已清楚采购文件所有要求及有关规定；并承诺参加本次采购活动中，如有违法、违规、弄虚作假行为，所造成的损失、不良后果及法律责任，一律由我方承担；</w:t>
      </w:r>
    </w:p>
    <w:p w14:paraId="44376BCD">
      <w:pPr>
        <w:snapToGrid/>
        <w:ind w:firstLine="420" w:firstLineChars="200"/>
        <w:rPr>
          <w:rFonts w:ascii="宋体" w:hAnsi="宋体"/>
          <w:color w:val="auto"/>
          <w:szCs w:val="21"/>
          <w:highlight w:val="none"/>
        </w:rPr>
      </w:pPr>
      <w:r>
        <w:rPr>
          <w:rFonts w:hint="eastAsia" w:ascii="宋体" w:hAnsi="宋体"/>
          <w:color w:val="auto"/>
          <w:szCs w:val="21"/>
          <w:highlight w:val="none"/>
        </w:rPr>
        <w:t>二、</w:t>
      </w:r>
      <w:r>
        <w:rPr>
          <w:rFonts w:ascii="宋体" w:hAnsi="宋体"/>
          <w:color w:val="auto"/>
          <w:szCs w:val="21"/>
          <w:highlight w:val="none"/>
        </w:rPr>
        <w:t>我方依法注册，在法律上、财务上和运作上完全独立于</w:t>
      </w: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u w:val="single"/>
          <w:lang w:val="en-US" w:eastAsia="zh-CN"/>
        </w:rPr>
        <w:t xml:space="preserve">   </w:t>
      </w:r>
      <w:r>
        <w:rPr>
          <w:rFonts w:hint="eastAsia" w:ascii="宋体" w:eastAsia="宋体"/>
          <w:color w:val="auto"/>
          <w:sz w:val="21"/>
          <w:szCs w:val="21"/>
          <w:highlight w:val="none"/>
          <w:u w:val="single"/>
        </w:rPr>
        <w:t xml:space="preserve">   </w:t>
      </w:r>
      <w:r>
        <w:rPr>
          <w:rFonts w:hint="eastAsia" w:ascii="宋体" w:hAnsi="宋体"/>
          <w:color w:val="auto"/>
          <w:szCs w:val="21"/>
          <w:highlight w:val="none"/>
        </w:rPr>
        <w:t>公司</w:t>
      </w:r>
      <w:r>
        <w:rPr>
          <w:rFonts w:ascii="宋体" w:hAnsi="宋体"/>
          <w:color w:val="auto"/>
          <w:szCs w:val="21"/>
          <w:highlight w:val="none"/>
        </w:rPr>
        <w:t>（</w:t>
      </w:r>
      <w:r>
        <w:rPr>
          <w:rFonts w:hint="eastAsia" w:ascii="宋体" w:hAnsi="宋体"/>
          <w:color w:val="auto"/>
          <w:szCs w:val="21"/>
          <w:highlight w:val="none"/>
        </w:rPr>
        <w:t>采购人</w:t>
      </w:r>
      <w:r>
        <w:rPr>
          <w:rFonts w:ascii="宋体" w:hAnsi="宋体"/>
          <w:color w:val="auto"/>
          <w:szCs w:val="21"/>
          <w:highlight w:val="none"/>
        </w:rPr>
        <w:t>）及</w:t>
      </w:r>
      <w:r>
        <w:rPr>
          <w:rFonts w:hint="eastAsia" w:ascii="宋体" w:eastAsia="宋体"/>
          <w:color w:val="auto"/>
          <w:sz w:val="21"/>
          <w:szCs w:val="21"/>
          <w:highlight w:val="none"/>
          <w:u w:val="single"/>
        </w:rPr>
        <w:t xml:space="preserve">  </w:t>
      </w:r>
      <w:r>
        <w:rPr>
          <w:rFonts w:hint="eastAsia" w:ascii="宋体" w:eastAsia="宋体"/>
          <w:color w:val="auto"/>
          <w:sz w:val="21"/>
          <w:szCs w:val="21"/>
          <w:highlight w:val="none"/>
          <w:u w:val="single"/>
          <w:lang w:val="en-US" w:eastAsia="zh-CN"/>
        </w:rPr>
        <w:t xml:space="preserve">   </w:t>
      </w:r>
      <w:r>
        <w:rPr>
          <w:rFonts w:hint="eastAsia" w:ascii="宋体" w:eastAsia="宋体"/>
          <w:color w:val="auto"/>
          <w:sz w:val="21"/>
          <w:szCs w:val="21"/>
          <w:highlight w:val="none"/>
          <w:u w:val="single"/>
        </w:rPr>
        <w:t xml:space="preserve">   </w:t>
      </w:r>
      <w:r>
        <w:rPr>
          <w:rFonts w:hint="eastAsia" w:ascii="宋体" w:hAnsi="宋体"/>
          <w:color w:val="auto"/>
          <w:szCs w:val="21"/>
          <w:highlight w:val="none"/>
        </w:rPr>
        <w:t>公司</w:t>
      </w:r>
      <w:r>
        <w:rPr>
          <w:rFonts w:ascii="宋体" w:hAnsi="宋体"/>
          <w:color w:val="auto"/>
          <w:szCs w:val="21"/>
          <w:highlight w:val="none"/>
        </w:rPr>
        <w:t>（采购代理机构）</w:t>
      </w:r>
      <w:r>
        <w:rPr>
          <w:rFonts w:hint="eastAsia" w:ascii="宋体" w:hAnsi="宋体"/>
          <w:color w:val="auto"/>
          <w:szCs w:val="21"/>
          <w:highlight w:val="none"/>
        </w:rPr>
        <w:t>。</w:t>
      </w:r>
    </w:p>
    <w:p w14:paraId="1A10E8EF">
      <w:pPr>
        <w:pStyle w:val="48"/>
        <w:spacing w:line="500" w:lineRule="atLeast"/>
        <w:ind w:firstLine="3517" w:firstLineChars="1675"/>
        <w:rPr>
          <w:rFonts w:ascii="宋体" w:eastAsia="宋体"/>
          <w:color w:val="auto"/>
          <w:sz w:val="21"/>
          <w:szCs w:val="21"/>
          <w:highlight w:val="none"/>
        </w:rPr>
      </w:pPr>
    </w:p>
    <w:p w14:paraId="78ADFA84">
      <w:pPr>
        <w:pStyle w:val="48"/>
        <w:spacing w:line="500" w:lineRule="atLeast"/>
        <w:ind w:firstLine="3517" w:firstLineChars="1675"/>
        <w:rPr>
          <w:rFonts w:ascii="宋体" w:eastAsia="宋体"/>
          <w:color w:val="auto"/>
          <w:sz w:val="21"/>
          <w:szCs w:val="21"/>
          <w:highlight w:val="none"/>
        </w:rPr>
      </w:pPr>
    </w:p>
    <w:p w14:paraId="72FDBB39">
      <w:pPr>
        <w:pStyle w:val="48"/>
        <w:spacing w:line="360" w:lineRule="auto"/>
        <w:ind w:firstLine="433"/>
        <w:rPr>
          <w:rFonts w:ascii="宋体" w:eastAsia="宋体"/>
          <w:color w:val="auto"/>
          <w:sz w:val="21"/>
          <w:szCs w:val="21"/>
          <w:highlight w:val="none"/>
        </w:rPr>
      </w:pPr>
      <w:r>
        <w:rPr>
          <w:rFonts w:hint="eastAsia" w:ascii="宋体" w:eastAsia="宋体"/>
          <w:color w:val="auto"/>
          <w:sz w:val="21"/>
          <w:szCs w:val="21"/>
          <w:highlight w:val="none"/>
        </w:rPr>
        <w:t>投标人名称（加盖公章）：</w:t>
      </w:r>
    </w:p>
    <w:p w14:paraId="3BB6AD66">
      <w:pPr>
        <w:pStyle w:val="48"/>
        <w:spacing w:line="360" w:lineRule="auto"/>
        <w:ind w:firstLine="433"/>
        <w:rPr>
          <w:rFonts w:ascii="宋体" w:eastAsia="宋体"/>
          <w:color w:val="auto"/>
          <w:sz w:val="21"/>
          <w:szCs w:val="21"/>
          <w:highlight w:val="none"/>
        </w:rPr>
      </w:pPr>
      <w:r>
        <w:rPr>
          <w:rFonts w:hint="eastAsia" w:ascii="宋体" w:eastAsia="宋体"/>
          <w:color w:val="auto"/>
          <w:sz w:val="21"/>
          <w:szCs w:val="21"/>
          <w:highlight w:val="none"/>
        </w:rPr>
        <w:t>法定代表人签字（签名或盖私章）：</w:t>
      </w:r>
    </w:p>
    <w:p w14:paraId="12EA31EB">
      <w:pPr>
        <w:pStyle w:val="48"/>
        <w:spacing w:line="360" w:lineRule="auto"/>
        <w:ind w:firstLine="433"/>
        <w:rPr>
          <w:rFonts w:ascii="宋体" w:eastAsia="宋体"/>
          <w:color w:val="auto"/>
          <w:sz w:val="21"/>
          <w:szCs w:val="21"/>
          <w:highlight w:val="none"/>
        </w:rPr>
      </w:pPr>
      <w:r>
        <w:rPr>
          <w:rFonts w:hint="eastAsia" w:ascii="宋体" w:eastAsia="宋体"/>
          <w:color w:val="auto"/>
          <w:sz w:val="21"/>
          <w:szCs w:val="21"/>
          <w:highlight w:val="none"/>
        </w:rPr>
        <w:t xml:space="preserve">日     期： </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 xml:space="preserve"> 年 </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 xml:space="preserve"> 月  </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日</w:t>
      </w:r>
    </w:p>
    <w:p w14:paraId="0DF9E6AA">
      <w:pPr>
        <w:pStyle w:val="48"/>
        <w:spacing w:line="500" w:lineRule="atLeast"/>
        <w:ind w:firstLine="433"/>
        <w:rPr>
          <w:rFonts w:ascii="宋体" w:eastAsia="宋体"/>
          <w:color w:val="auto"/>
          <w:sz w:val="21"/>
          <w:szCs w:val="21"/>
          <w:highlight w:val="none"/>
        </w:rPr>
      </w:pPr>
      <w:r>
        <w:rPr>
          <w:rFonts w:hint="eastAsia" w:ascii="宋体" w:eastAsia="宋体"/>
          <w:color w:val="auto"/>
          <w:sz w:val="21"/>
          <w:szCs w:val="21"/>
          <w:highlight w:val="none"/>
        </w:rPr>
        <w:br w:type="page"/>
      </w:r>
    </w:p>
    <w:p w14:paraId="2395A310">
      <w:pPr>
        <w:pStyle w:val="8"/>
        <w:widowControl w:val="0"/>
        <w:overflowPunct w:val="0"/>
        <w:spacing w:line="240" w:lineRule="auto"/>
        <w:rPr>
          <w:rFonts w:ascii="宋体" w:hAnsi="宋体"/>
          <w:color w:val="auto"/>
          <w:sz w:val="21"/>
          <w:szCs w:val="21"/>
          <w:highlight w:val="none"/>
        </w:rPr>
      </w:pPr>
      <w:bookmarkStart w:id="218" w:name="_Toc23554"/>
      <w:bookmarkStart w:id="219" w:name="_Toc10305"/>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8</w:t>
      </w:r>
      <w:r>
        <w:rPr>
          <w:rFonts w:hint="eastAsia" w:ascii="宋体" w:hAnsi="宋体"/>
          <w:color w:val="auto"/>
          <w:sz w:val="21"/>
          <w:szCs w:val="21"/>
          <w:highlight w:val="none"/>
        </w:rPr>
        <w:t>.营业执照</w:t>
      </w:r>
      <w:bookmarkEnd w:id="218"/>
      <w:bookmarkEnd w:id="219"/>
    </w:p>
    <w:p w14:paraId="709A8D74">
      <w:pPr>
        <w:jc w:val="center"/>
        <w:rPr>
          <w:rFonts w:ascii="黑体" w:eastAsia="黑体"/>
          <w:color w:val="auto"/>
          <w:sz w:val="28"/>
          <w:szCs w:val="28"/>
          <w:highlight w:val="none"/>
        </w:rPr>
      </w:pPr>
      <w:bookmarkStart w:id="220" w:name="_Toc1511"/>
      <w:bookmarkStart w:id="221" w:name="_Toc24210"/>
      <w:bookmarkStart w:id="222" w:name="_Toc17470"/>
      <w:bookmarkStart w:id="223" w:name="_Toc5919"/>
      <w:bookmarkStart w:id="224" w:name="_Toc4926"/>
      <w:r>
        <w:rPr>
          <w:rFonts w:hint="eastAsia" w:ascii="黑体" w:eastAsia="黑体"/>
          <w:color w:val="auto"/>
          <w:sz w:val="28"/>
          <w:szCs w:val="28"/>
          <w:highlight w:val="none"/>
        </w:rPr>
        <w:t>营业执照</w:t>
      </w:r>
      <w:bookmarkEnd w:id="220"/>
      <w:bookmarkEnd w:id="221"/>
      <w:bookmarkEnd w:id="222"/>
      <w:bookmarkEnd w:id="223"/>
      <w:bookmarkEnd w:id="224"/>
    </w:p>
    <w:p w14:paraId="44BCA6D4">
      <w:pPr>
        <w:jc w:val="center"/>
        <w:rPr>
          <w:rFonts w:ascii="黑体" w:eastAsia="黑体"/>
          <w:color w:val="auto"/>
          <w:sz w:val="28"/>
          <w:szCs w:val="28"/>
          <w:highlight w:val="none"/>
        </w:rPr>
      </w:pPr>
      <w:r>
        <w:rPr>
          <w:rFonts w:hint="eastAsia" w:ascii="黑体" w:eastAsia="黑体"/>
          <w:color w:val="auto"/>
          <w:sz w:val="28"/>
          <w:szCs w:val="28"/>
          <w:highlight w:val="none"/>
        </w:rPr>
        <w:br w:type="page"/>
      </w:r>
    </w:p>
    <w:p w14:paraId="6D786548">
      <w:pPr>
        <w:pStyle w:val="8"/>
        <w:widowControl w:val="0"/>
        <w:overflowPunct w:val="0"/>
        <w:spacing w:line="240" w:lineRule="auto"/>
        <w:rPr>
          <w:rFonts w:ascii="宋体" w:hAnsi="宋体"/>
          <w:color w:val="auto"/>
          <w:sz w:val="21"/>
          <w:szCs w:val="21"/>
          <w:highlight w:val="none"/>
        </w:rPr>
      </w:pPr>
      <w:bookmarkStart w:id="225" w:name="_Toc24767"/>
      <w:bookmarkStart w:id="226" w:name="_Toc30816"/>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9</w:t>
      </w:r>
      <w:r>
        <w:rPr>
          <w:rFonts w:hint="eastAsia" w:ascii="宋体" w:hAnsi="宋体"/>
          <w:color w:val="auto"/>
          <w:sz w:val="21"/>
          <w:szCs w:val="21"/>
          <w:highlight w:val="none"/>
        </w:rPr>
        <w:t>.相关资质证明文件</w:t>
      </w:r>
      <w:bookmarkEnd w:id="225"/>
      <w:bookmarkEnd w:id="226"/>
    </w:p>
    <w:p w14:paraId="5D7BD204">
      <w:pPr>
        <w:rPr>
          <w:color w:val="auto"/>
          <w:highlight w:val="none"/>
        </w:rPr>
      </w:pPr>
    </w:p>
    <w:p w14:paraId="1B228A71">
      <w:pPr>
        <w:jc w:val="center"/>
        <w:rPr>
          <w:rFonts w:ascii="黑体" w:eastAsia="黑体"/>
          <w:color w:val="auto"/>
          <w:sz w:val="28"/>
          <w:szCs w:val="28"/>
          <w:highlight w:val="none"/>
        </w:rPr>
      </w:pPr>
      <w:bookmarkStart w:id="227" w:name="_Toc13458"/>
      <w:bookmarkStart w:id="228" w:name="_Toc16233"/>
      <w:bookmarkStart w:id="229" w:name="_Toc30307"/>
      <w:bookmarkStart w:id="230" w:name="_Toc9592"/>
      <w:bookmarkStart w:id="231" w:name="_Toc16698"/>
      <w:r>
        <w:rPr>
          <w:rFonts w:hint="eastAsia" w:ascii="黑体" w:eastAsia="黑体"/>
          <w:color w:val="auto"/>
          <w:sz w:val="28"/>
          <w:szCs w:val="28"/>
          <w:highlight w:val="none"/>
        </w:rPr>
        <w:t>相关资质证明文件</w:t>
      </w:r>
      <w:bookmarkEnd w:id="215"/>
      <w:bookmarkEnd w:id="227"/>
      <w:bookmarkEnd w:id="228"/>
      <w:bookmarkEnd w:id="229"/>
      <w:bookmarkEnd w:id="230"/>
      <w:bookmarkEnd w:id="231"/>
    </w:p>
    <w:p w14:paraId="163D74F4">
      <w:pPr>
        <w:numPr>
          <w:ilvl w:val="0"/>
          <w:numId w:val="9"/>
        </w:numPr>
        <w:tabs>
          <w:tab w:val="left" w:pos="1680"/>
        </w:tabs>
        <w:jc w:val="both"/>
        <w:rPr>
          <w:rFonts w:ascii="宋体" w:hAnsi="宋体" w:cs="宋体"/>
          <w:b/>
          <w:bCs/>
          <w:color w:val="auto"/>
          <w:szCs w:val="21"/>
          <w:highlight w:val="none"/>
        </w:rPr>
      </w:pPr>
      <w:r>
        <w:rPr>
          <w:rFonts w:hint="eastAsia" w:ascii="宋体" w:hAnsi="宋体" w:cs="宋体"/>
          <w:b/>
          <w:bCs/>
          <w:color w:val="auto"/>
          <w:szCs w:val="21"/>
          <w:highlight w:val="none"/>
        </w:rPr>
        <w:t>符合投标邀请书“投标人资格要求”其他要求对应的证明文件；</w:t>
      </w:r>
    </w:p>
    <w:p w14:paraId="16E74752">
      <w:pPr>
        <w:numPr>
          <w:ilvl w:val="0"/>
          <w:numId w:val="9"/>
        </w:numPr>
        <w:tabs>
          <w:tab w:val="left" w:pos="1680"/>
        </w:tabs>
        <w:jc w:val="both"/>
        <w:rPr>
          <w:rFonts w:ascii="宋体" w:hAnsi="宋体" w:cs="宋体"/>
          <w:b/>
          <w:bCs/>
          <w:color w:val="auto"/>
          <w:szCs w:val="21"/>
          <w:highlight w:val="none"/>
        </w:rPr>
      </w:pPr>
      <w:r>
        <w:rPr>
          <w:rFonts w:hint="eastAsia" w:ascii="宋体" w:hAnsi="宋体" w:cs="宋体"/>
          <w:b/>
          <w:bCs/>
          <w:color w:val="auto"/>
          <w:szCs w:val="21"/>
          <w:highlight w:val="none"/>
        </w:rPr>
        <w:t>投标人认为必要的文件。</w:t>
      </w:r>
      <w:r>
        <w:rPr>
          <w:rFonts w:hint="eastAsia" w:ascii="宋体" w:hAnsi="宋体" w:cs="宋体"/>
          <w:b/>
          <w:bCs/>
          <w:color w:val="auto"/>
          <w:szCs w:val="21"/>
          <w:highlight w:val="none"/>
        </w:rPr>
        <w:br w:type="page"/>
      </w:r>
    </w:p>
    <w:p w14:paraId="3AE656DD">
      <w:pPr>
        <w:pStyle w:val="8"/>
        <w:widowControl w:val="0"/>
        <w:overflowPunct w:val="0"/>
        <w:spacing w:line="240" w:lineRule="auto"/>
        <w:rPr>
          <w:rFonts w:ascii="楷体_GB2312" w:eastAsia="楷体_GB2312"/>
          <w:color w:val="auto"/>
          <w:highlight w:val="none"/>
        </w:rPr>
      </w:pPr>
      <w:bookmarkStart w:id="232" w:name="_Toc3091"/>
      <w:bookmarkStart w:id="233" w:name="_Toc10489"/>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10</w:t>
      </w:r>
      <w:r>
        <w:rPr>
          <w:rFonts w:hint="eastAsia" w:ascii="宋体" w:hAnsi="宋体"/>
          <w:color w:val="auto"/>
          <w:sz w:val="21"/>
          <w:szCs w:val="21"/>
          <w:highlight w:val="none"/>
        </w:rPr>
        <w:t>.在经营活动中没有重大违法记录的书面声明格式</w:t>
      </w:r>
      <w:bookmarkEnd w:id="232"/>
      <w:bookmarkEnd w:id="233"/>
    </w:p>
    <w:p w14:paraId="5E185B5B">
      <w:pPr>
        <w:rPr>
          <w:color w:val="auto"/>
          <w:highlight w:val="none"/>
        </w:rPr>
      </w:pPr>
    </w:p>
    <w:p w14:paraId="5EC278B2">
      <w:pPr>
        <w:jc w:val="center"/>
        <w:rPr>
          <w:rFonts w:ascii="黑体" w:eastAsia="黑体"/>
          <w:color w:val="auto"/>
          <w:sz w:val="28"/>
          <w:szCs w:val="28"/>
          <w:highlight w:val="none"/>
        </w:rPr>
      </w:pPr>
      <w:r>
        <w:rPr>
          <w:rFonts w:hint="eastAsia" w:ascii="黑体" w:eastAsia="黑体"/>
          <w:color w:val="auto"/>
          <w:sz w:val="28"/>
          <w:szCs w:val="28"/>
          <w:highlight w:val="none"/>
        </w:rPr>
        <w:t>投标人在经营活动中前三年内未有重大违法记录、没有不良信用记录的声明函</w:t>
      </w:r>
    </w:p>
    <w:p w14:paraId="0C688605">
      <w:pPr>
        <w:ind w:firstLine="420" w:firstLineChars="200"/>
        <w:rPr>
          <w:rFonts w:ascii="宋体" w:hAnsi="宋体" w:cs="宋体"/>
          <w:color w:val="auto"/>
          <w:szCs w:val="21"/>
          <w:highlight w:val="none"/>
        </w:rPr>
      </w:pPr>
    </w:p>
    <w:p w14:paraId="0CC9E461">
      <w:pPr>
        <w:snapToGrid/>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lang w:eastAsia="zh-CN"/>
        </w:rPr>
        <w:t>广州宏达工程顾问集团有限公司</w:t>
      </w:r>
      <w:r>
        <w:rPr>
          <w:rFonts w:hint="eastAsia" w:ascii="宋体" w:hAnsi="宋体" w:cs="宋体"/>
          <w:color w:val="auto"/>
          <w:szCs w:val="21"/>
          <w:highlight w:val="none"/>
        </w:rPr>
        <w:t>：</w:t>
      </w:r>
    </w:p>
    <w:p w14:paraId="7A8577CB">
      <w:pPr>
        <w:snapToGrid/>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我公司郑重承诺：在参加“</w:t>
      </w:r>
      <w:r>
        <w:rPr>
          <w:rFonts w:hint="eastAsia" w:ascii="宋体" w:hAnsi="宋体" w:cs="宋体"/>
          <w:color w:val="auto"/>
          <w:szCs w:val="21"/>
          <w:highlight w:val="none"/>
          <w:u w:val="single"/>
        </w:rPr>
        <w:t xml:space="preserve">   （采购项目名称）   </w:t>
      </w:r>
      <w:r>
        <w:rPr>
          <w:rFonts w:hint="eastAsia" w:ascii="宋体" w:hAnsi="宋体" w:cs="宋体"/>
          <w:color w:val="auto"/>
          <w:szCs w:val="21"/>
          <w:highlight w:val="none"/>
        </w:rPr>
        <w:t>”（项目编号</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）采购活动前三年内（设立不满三年的从设立之日计算），在经营活动中没有重大违法记录；至本项目提交投标文件截止时间止未被列入“信用中国”网站失信被执行人、重大税收违法失信主体</w:t>
      </w:r>
      <w:r>
        <w:rPr>
          <w:rFonts w:hint="eastAsia" w:ascii="宋体" w:hAnsi="宋体" w:cs="宋体"/>
          <w:color w:val="auto"/>
          <w:szCs w:val="21"/>
          <w:highlight w:val="none"/>
          <w:lang w:val="en-US" w:eastAsia="zh-CN"/>
        </w:rPr>
        <w:t>名单</w:t>
      </w:r>
      <w:r>
        <w:rPr>
          <w:rFonts w:hint="eastAsia" w:ascii="宋体" w:hAnsi="宋体" w:cs="宋体"/>
          <w:color w:val="auto"/>
          <w:szCs w:val="21"/>
          <w:highlight w:val="none"/>
        </w:rPr>
        <w:t>、政府采购严重违法失信行为记录名单。</w:t>
      </w:r>
    </w:p>
    <w:p w14:paraId="65F57D3E">
      <w:pPr>
        <w:snapToGrid/>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我公司以上承诺均为真实有效，绝无任何虚假、伪造的成份，否则，愿承担相应的后果和法律责任。</w:t>
      </w:r>
    </w:p>
    <w:p w14:paraId="21AD5FE9">
      <w:pPr>
        <w:ind w:firstLine="420" w:firstLineChars="200"/>
        <w:rPr>
          <w:rFonts w:ascii="宋体" w:hAnsi="宋体" w:cs="宋体"/>
          <w:color w:val="auto"/>
          <w:szCs w:val="21"/>
          <w:highlight w:val="none"/>
        </w:rPr>
      </w:pPr>
    </w:p>
    <w:p w14:paraId="08271E30">
      <w:pPr>
        <w:rPr>
          <w:rFonts w:ascii="宋体" w:hAnsi="宋体" w:cs="宋体"/>
          <w:color w:val="auto"/>
          <w:szCs w:val="21"/>
          <w:highlight w:val="none"/>
        </w:rPr>
      </w:pPr>
    </w:p>
    <w:p w14:paraId="2AE6280A">
      <w:pPr>
        <w:snapToGrid/>
        <w:spacing w:line="480" w:lineRule="auto"/>
        <w:ind w:firstLine="420" w:firstLineChars="200"/>
        <w:rPr>
          <w:rFonts w:ascii="宋体" w:hAnsi="宋体" w:cs="宋体"/>
          <w:color w:val="auto"/>
          <w:szCs w:val="21"/>
          <w:highlight w:val="none"/>
        </w:rPr>
      </w:pPr>
      <w:r>
        <w:rPr>
          <w:rFonts w:hint="eastAsia" w:ascii="宋体" w:eastAsia="宋体"/>
          <w:color w:val="auto"/>
          <w:sz w:val="21"/>
          <w:szCs w:val="21"/>
          <w:highlight w:val="none"/>
        </w:rPr>
        <w:t>投标人名称（加盖公章）：</w:t>
      </w:r>
    </w:p>
    <w:p w14:paraId="2404592B">
      <w:pPr>
        <w:snapToGrid/>
        <w:spacing w:line="480" w:lineRule="auto"/>
        <w:ind w:firstLine="420" w:firstLineChars="200"/>
        <w:rPr>
          <w:rFonts w:ascii="宋体" w:hAnsi="宋体" w:cs="宋体"/>
          <w:color w:val="auto"/>
          <w:szCs w:val="21"/>
          <w:highlight w:val="none"/>
        </w:rPr>
      </w:pPr>
      <w:r>
        <w:rPr>
          <w:rFonts w:hint="eastAsia" w:ascii="宋体" w:eastAsia="宋体"/>
          <w:color w:val="auto"/>
          <w:sz w:val="21"/>
          <w:szCs w:val="21"/>
          <w:highlight w:val="none"/>
        </w:rPr>
        <w:t xml:space="preserve">日     期： </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 xml:space="preserve"> 年 </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 xml:space="preserve"> 月  </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日</w:t>
      </w:r>
    </w:p>
    <w:p w14:paraId="35147BF1">
      <w:pPr>
        <w:rPr>
          <w:color w:val="auto"/>
          <w:highlight w:val="none"/>
        </w:rPr>
      </w:pPr>
      <w:r>
        <w:rPr>
          <w:color w:val="auto"/>
          <w:highlight w:val="none"/>
        </w:rPr>
        <w:br w:type="page"/>
      </w:r>
    </w:p>
    <w:p w14:paraId="5CDE7A81">
      <w:pPr>
        <w:pStyle w:val="8"/>
        <w:widowControl w:val="0"/>
        <w:overflowPunct w:val="0"/>
        <w:spacing w:line="240" w:lineRule="auto"/>
        <w:rPr>
          <w:rFonts w:ascii="楷体_GB2312" w:eastAsia="楷体_GB2312"/>
          <w:color w:val="auto"/>
          <w:highlight w:val="none"/>
        </w:rPr>
      </w:pPr>
      <w:bookmarkStart w:id="234" w:name="_Toc18616"/>
      <w:bookmarkStart w:id="235" w:name="_Toc3365"/>
      <w:r>
        <w:rPr>
          <w:rFonts w:hint="eastAsia" w:ascii="宋体" w:hAnsi="宋体"/>
          <w:color w:val="auto"/>
          <w:sz w:val="21"/>
          <w:szCs w:val="21"/>
          <w:highlight w:val="none"/>
        </w:rPr>
        <w:t>附件1</w:t>
      </w: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.承诺书格式</w:t>
      </w:r>
      <w:bookmarkEnd w:id="234"/>
      <w:bookmarkEnd w:id="235"/>
    </w:p>
    <w:p w14:paraId="34B938DF">
      <w:pPr>
        <w:jc w:val="center"/>
        <w:rPr>
          <w:rFonts w:ascii="黑体" w:eastAsia="黑体"/>
          <w:color w:val="auto"/>
          <w:sz w:val="28"/>
          <w:szCs w:val="28"/>
          <w:highlight w:val="none"/>
        </w:rPr>
      </w:pPr>
      <w:r>
        <w:rPr>
          <w:rFonts w:hint="eastAsia" w:ascii="黑体" w:eastAsia="黑体"/>
          <w:color w:val="auto"/>
          <w:sz w:val="28"/>
          <w:szCs w:val="28"/>
          <w:highlight w:val="none"/>
        </w:rPr>
        <w:t>承诺书</w:t>
      </w:r>
    </w:p>
    <w:p w14:paraId="107001D9">
      <w:pPr>
        <w:pStyle w:val="48"/>
        <w:spacing w:line="480" w:lineRule="auto"/>
        <w:ind w:firstLine="0" w:firstLineChars="0"/>
        <w:rPr>
          <w:rFonts w:ascii="宋体" w:eastAsia="宋体" w:cs="宋体"/>
          <w:color w:val="auto"/>
          <w:sz w:val="21"/>
          <w:szCs w:val="21"/>
          <w:highlight w:val="none"/>
        </w:rPr>
      </w:pPr>
      <w:r>
        <w:rPr>
          <w:rFonts w:hint="eastAsia" w:ascii="宋体" w:eastAsia="宋体" w:cs="宋体"/>
          <w:color w:val="auto"/>
          <w:sz w:val="21"/>
          <w:szCs w:val="21"/>
          <w:highlight w:val="none"/>
        </w:rPr>
        <w:t>致：</w:t>
      </w:r>
      <w:r>
        <w:rPr>
          <w:rFonts w:hint="eastAsia" w:ascii="宋体" w:eastAsia="宋体" w:cs="宋体"/>
          <w:color w:val="auto"/>
          <w:sz w:val="21"/>
          <w:szCs w:val="21"/>
          <w:highlight w:val="none"/>
          <w:lang w:eastAsia="zh-CN"/>
        </w:rPr>
        <w:t>广州宏达工程顾问集团有限公司</w:t>
      </w:r>
    </w:p>
    <w:p w14:paraId="1E5D56FE">
      <w:pPr>
        <w:pStyle w:val="48"/>
        <w:spacing w:line="480" w:lineRule="auto"/>
        <w:ind w:firstLine="433"/>
        <w:rPr>
          <w:rFonts w:ascii="宋体" w:eastAsia="宋体" w:cs="宋体"/>
          <w:color w:val="auto"/>
          <w:sz w:val="21"/>
          <w:szCs w:val="21"/>
          <w:highlight w:val="none"/>
        </w:rPr>
      </w:pPr>
      <w:r>
        <w:rPr>
          <w:rFonts w:hint="eastAsia" w:ascii="宋体" w:eastAsia="宋体" w:cs="宋体"/>
          <w:color w:val="auto"/>
          <w:sz w:val="21"/>
          <w:szCs w:val="21"/>
          <w:highlight w:val="none"/>
        </w:rPr>
        <w:t>我方已完整阅读了</w:t>
      </w:r>
      <w:r>
        <w:rPr>
          <w:rFonts w:hint="eastAsia" w:ascii="宋体" w:eastAsia="宋体" w:cs="宋体"/>
          <w:color w:val="auto"/>
          <w:sz w:val="21"/>
          <w:szCs w:val="21"/>
          <w:highlight w:val="none"/>
          <w:u w:val="single"/>
        </w:rPr>
        <w:t xml:space="preserve">  （项目名称）     </w:t>
      </w:r>
      <w:r>
        <w:rPr>
          <w:rFonts w:hint="eastAsia" w:ascii="宋体" w:eastAsia="宋体" w:cs="宋体"/>
          <w:color w:val="auto"/>
          <w:sz w:val="21"/>
          <w:szCs w:val="21"/>
          <w:highlight w:val="none"/>
        </w:rPr>
        <w:t>项目（项目编号：</w:t>
      </w:r>
      <w:r>
        <w:rPr>
          <w:rFonts w:hint="eastAsia" w:ascii="宋体" w:eastAsia="宋体" w:cs="宋体"/>
          <w:color w:val="auto"/>
          <w:sz w:val="21"/>
          <w:szCs w:val="21"/>
          <w:highlight w:val="none"/>
          <w:u w:val="single"/>
        </w:rPr>
        <w:t xml:space="preserve">            </w:t>
      </w:r>
      <w:r>
        <w:rPr>
          <w:rFonts w:hint="eastAsia" w:ascii="宋体" w:eastAsia="宋体" w:cs="宋体"/>
          <w:color w:val="auto"/>
          <w:sz w:val="21"/>
          <w:szCs w:val="21"/>
          <w:highlight w:val="none"/>
        </w:rPr>
        <w:t>）采购文件的所有内容（包括澄清，以及所有已提供的参考资料和有关附件），并完全理解上述文件所表达的意思，该项目递交投标文件时间截止后，我方承诺不再对上述文件内容有异议。</w:t>
      </w:r>
      <w:r>
        <w:rPr>
          <w:rFonts w:hint="eastAsia" w:ascii="宋体" w:eastAsia="宋体" w:cs="宋体"/>
          <w:color w:val="auto"/>
          <w:sz w:val="21"/>
          <w:szCs w:val="21"/>
          <w:highlight w:val="none"/>
        </w:rPr>
        <w:cr/>
      </w:r>
    </w:p>
    <w:p w14:paraId="3CA16D0F">
      <w:pPr>
        <w:pStyle w:val="48"/>
        <w:spacing w:line="420" w:lineRule="exact"/>
        <w:ind w:firstLine="433"/>
        <w:rPr>
          <w:rFonts w:ascii="宋体" w:eastAsia="宋体" w:cs="宋体"/>
          <w:color w:val="auto"/>
          <w:sz w:val="21"/>
          <w:szCs w:val="21"/>
          <w:highlight w:val="none"/>
        </w:rPr>
      </w:pPr>
    </w:p>
    <w:p w14:paraId="1B9DA299">
      <w:pPr>
        <w:snapToGrid/>
        <w:ind w:right="561" w:firstLine="420" w:firstLineChars="200"/>
        <w:rPr>
          <w:rFonts w:ascii="宋体" w:hAnsi="宋体" w:cs="宋体"/>
          <w:color w:val="auto"/>
          <w:szCs w:val="21"/>
          <w:highlight w:val="none"/>
        </w:rPr>
      </w:pPr>
      <w:r>
        <w:rPr>
          <w:rFonts w:hint="eastAsia" w:ascii="宋体" w:hAnsi="宋体" w:cs="宋体"/>
          <w:color w:val="auto"/>
          <w:szCs w:val="21"/>
          <w:highlight w:val="none"/>
        </w:rPr>
        <w:t>投标人名称（加盖公章）：</w:t>
      </w:r>
    </w:p>
    <w:p w14:paraId="23C26083">
      <w:pPr>
        <w:snapToGrid/>
        <w:ind w:right="561" w:firstLine="420" w:firstLineChars="200"/>
        <w:rPr>
          <w:rFonts w:ascii="宋体" w:hAnsi="宋体" w:cs="宋体"/>
          <w:color w:val="auto"/>
          <w:szCs w:val="21"/>
          <w:highlight w:val="none"/>
        </w:rPr>
      </w:pPr>
      <w:r>
        <w:rPr>
          <w:rFonts w:hint="eastAsia" w:ascii="宋体" w:hAnsi="宋体" w:cs="宋体"/>
          <w:color w:val="auto"/>
          <w:szCs w:val="21"/>
          <w:highlight w:val="none"/>
        </w:rPr>
        <w:t>法定代表人或被授权人（签名或盖私章）：</w:t>
      </w:r>
    </w:p>
    <w:p w14:paraId="57C7FFDC">
      <w:pPr>
        <w:snapToGrid/>
        <w:ind w:right="561" w:firstLine="420" w:firstLineChars="200"/>
        <w:rPr>
          <w:rFonts w:ascii="宋体" w:hAnsi="宋体" w:cs="宋体"/>
          <w:color w:val="auto"/>
          <w:szCs w:val="21"/>
          <w:highlight w:val="none"/>
        </w:rPr>
      </w:pPr>
      <w:r>
        <w:rPr>
          <w:rFonts w:hint="eastAsia" w:ascii="宋体" w:eastAsia="宋体"/>
          <w:color w:val="auto"/>
          <w:sz w:val="21"/>
          <w:szCs w:val="21"/>
          <w:highlight w:val="none"/>
        </w:rPr>
        <w:t xml:space="preserve">日     期： </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 xml:space="preserve"> 年 </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 xml:space="preserve"> 月  </w:t>
      </w:r>
      <w:r>
        <w:rPr>
          <w:rFonts w:hint="eastAsia" w:ascii="宋体" w:eastAsia="宋体"/>
          <w:color w:val="auto"/>
          <w:sz w:val="21"/>
          <w:szCs w:val="21"/>
          <w:highlight w:val="none"/>
          <w:lang w:val="en-US" w:eastAsia="zh-CN"/>
        </w:rPr>
        <w:t xml:space="preserve"> </w:t>
      </w:r>
      <w:r>
        <w:rPr>
          <w:rFonts w:hint="eastAsia" w:ascii="宋体" w:eastAsia="宋体"/>
          <w:color w:val="auto"/>
          <w:sz w:val="21"/>
          <w:szCs w:val="21"/>
          <w:highlight w:val="none"/>
        </w:rPr>
        <w:t>日</w:t>
      </w:r>
    </w:p>
    <w:p w14:paraId="4678EE67">
      <w:pPr>
        <w:rPr>
          <w:color w:val="auto"/>
          <w:highlight w:val="none"/>
        </w:rPr>
      </w:pPr>
    </w:p>
    <w:p w14:paraId="3DC7CB7D">
      <w:pPr>
        <w:rPr>
          <w:rFonts w:ascii="宋体" w:hAnsi="宋体"/>
          <w:color w:val="auto"/>
          <w:szCs w:val="21"/>
          <w:highlight w:val="none"/>
        </w:rPr>
      </w:pPr>
    </w:p>
    <w:p w14:paraId="1322F510">
      <w:pPr>
        <w:rPr>
          <w:color w:val="auto"/>
          <w:sz w:val="21"/>
          <w:szCs w:val="21"/>
          <w:highlight w:val="none"/>
        </w:rPr>
      </w:pPr>
      <w:r>
        <w:rPr>
          <w:color w:val="auto"/>
          <w:sz w:val="21"/>
          <w:szCs w:val="21"/>
          <w:highlight w:val="none"/>
        </w:rPr>
        <w:br w:type="page"/>
      </w:r>
    </w:p>
    <w:p w14:paraId="4E980245">
      <w:pPr>
        <w:pStyle w:val="8"/>
        <w:widowControl w:val="0"/>
        <w:overflowPunct w:val="0"/>
        <w:spacing w:line="240" w:lineRule="auto"/>
        <w:rPr>
          <w:rFonts w:ascii="宋体" w:hAnsi="宋体"/>
          <w:color w:val="auto"/>
          <w:sz w:val="21"/>
          <w:szCs w:val="21"/>
          <w:highlight w:val="none"/>
        </w:rPr>
      </w:pPr>
      <w:bookmarkStart w:id="236" w:name="_Toc10630"/>
      <w:bookmarkStart w:id="237" w:name="_Toc24507"/>
      <w:r>
        <w:rPr>
          <w:rFonts w:hint="eastAsia" w:ascii="宋体" w:hAnsi="宋体"/>
          <w:color w:val="auto"/>
          <w:sz w:val="21"/>
          <w:szCs w:val="21"/>
          <w:highlight w:val="none"/>
        </w:rPr>
        <w:t>附件1</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.商务需求条款偏离表格式</w:t>
      </w:r>
      <w:bookmarkEnd w:id="236"/>
      <w:bookmarkEnd w:id="237"/>
    </w:p>
    <w:p w14:paraId="34660332">
      <w:pPr>
        <w:jc w:val="center"/>
        <w:rPr>
          <w:rFonts w:ascii="黑体" w:eastAsia="黑体"/>
          <w:color w:val="auto"/>
          <w:sz w:val="28"/>
          <w:szCs w:val="28"/>
          <w:highlight w:val="none"/>
        </w:rPr>
      </w:pPr>
    </w:p>
    <w:p w14:paraId="3B939D8F">
      <w:pPr>
        <w:jc w:val="center"/>
        <w:rPr>
          <w:rFonts w:ascii="黑体" w:eastAsia="黑体"/>
          <w:color w:val="auto"/>
          <w:sz w:val="28"/>
          <w:szCs w:val="28"/>
          <w:highlight w:val="none"/>
        </w:rPr>
      </w:pPr>
      <w:r>
        <w:rPr>
          <w:rFonts w:hint="eastAsia" w:ascii="黑体" w:eastAsia="黑体"/>
          <w:color w:val="auto"/>
          <w:sz w:val="28"/>
          <w:szCs w:val="28"/>
          <w:highlight w:val="none"/>
        </w:rPr>
        <w:t>商务需求条款偏离表</w:t>
      </w:r>
    </w:p>
    <w:tbl>
      <w:tblPr>
        <w:tblStyle w:val="32"/>
        <w:tblW w:w="9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620"/>
        <w:gridCol w:w="1860"/>
        <w:gridCol w:w="1869"/>
        <w:gridCol w:w="1339"/>
        <w:gridCol w:w="1384"/>
      </w:tblGrid>
      <w:tr w14:paraId="37836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008" w:type="dxa"/>
            <w:vAlign w:val="center"/>
          </w:tcPr>
          <w:p w14:paraId="029DB98B">
            <w:pPr>
              <w:snapToGrid/>
              <w:spacing w:line="240" w:lineRule="auto"/>
              <w:jc w:val="center"/>
              <w:rPr>
                <w:rFonts w:ascii="宋体" w:hAnsi="宋体"/>
                <w:color w:val="auto"/>
                <w:szCs w:val="21"/>
                <w:highlight w:val="none"/>
              </w:rPr>
            </w:pPr>
            <w:r>
              <w:rPr>
                <w:rFonts w:hint="eastAsia" w:ascii="宋体" w:hAnsi="宋体"/>
                <w:color w:val="auto"/>
                <w:szCs w:val="21"/>
                <w:highlight w:val="none"/>
              </w:rPr>
              <w:t>序号</w:t>
            </w:r>
          </w:p>
        </w:tc>
        <w:tc>
          <w:tcPr>
            <w:tcW w:w="1620" w:type="dxa"/>
            <w:vAlign w:val="center"/>
          </w:tcPr>
          <w:p w14:paraId="1032DD09">
            <w:pPr>
              <w:snapToGrid/>
              <w:spacing w:line="240" w:lineRule="auto"/>
              <w:jc w:val="center"/>
              <w:rPr>
                <w:rFonts w:ascii="宋体" w:hAnsi="宋体"/>
                <w:color w:val="auto"/>
                <w:szCs w:val="21"/>
                <w:highlight w:val="none"/>
              </w:rPr>
            </w:pPr>
            <w:r>
              <w:rPr>
                <w:rFonts w:hint="eastAsia" w:ascii="宋体" w:hAnsi="宋体"/>
                <w:color w:val="auto"/>
                <w:szCs w:val="21"/>
                <w:highlight w:val="none"/>
              </w:rPr>
              <w:t>服务项目名称</w:t>
            </w:r>
          </w:p>
        </w:tc>
        <w:tc>
          <w:tcPr>
            <w:tcW w:w="1860" w:type="dxa"/>
            <w:vAlign w:val="center"/>
          </w:tcPr>
          <w:p w14:paraId="2E574856">
            <w:pPr>
              <w:snapToGrid/>
              <w:spacing w:line="240" w:lineRule="auto"/>
              <w:jc w:val="center"/>
              <w:rPr>
                <w:rFonts w:ascii="宋体" w:hAnsi="宋体"/>
                <w:color w:val="auto"/>
                <w:szCs w:val="21"/>
                <w:highlight w:val="none"/>
              </w:rPr>
            </w:pPr>
            <w:r>
              <w:rPr>
                <w:rFonts w:hint="eastAsia" w:ascii="宋体" w:hAnsi="宋体"/>
                <w:color w:val="auto"/>
                <w:szCs w:val="21"/>
                <w:highlight w:val="none"/>
              </w:rPr>
              <w:t>采购要求</w:t>
            </w:r>
          </w:p>
        </w:tc>
        <w:tc>
          <w:tcPr>
            <w:tcW w:w="1869" w:type="dxa"/>
            <w:vAlign w:val="center"/>
          </w:tcPr>
          <w:p w14:paraId="647B165D">
            <w:pPr>
              <w:snapToGrid/>
              <w:spacing w:line="240" w:lineRule="auto"/>
              <w:jc w:val="center"/>
              <w:rPr>
                <w:rFonts w:ascii="宋体" w:hAnsi="宋体"/>
                <w:color w:val="auto"/>
                <w:szCs w:val="21"/>
                <w:highlight w:val="none"/>
              </w:rPr>
            </w:pPr>
            <w:r>
              <w:rPr>
                <w:rFonts w:hint="eastAsia" w:ascii="宋体" w:hAnsi="宋体"/>
                <w:color w:val="auto"/>
                <w:szCs w:val="21"/>
                <w:highlight w:val="none"/>
              </w:rPr>
              <w:t>投标实际响应</w:t>
            </w:r>
          </w:p>
        </w:tc>
        <w:tc>
          <w:tcPr>
            <w:tcW w:w="1339" w:type="dxa"/>
            <w:vAlign w:val="center"/>
          </w:tcPr>
          <w:p w14:paraId="3C83C922">
            <w:pPr>
              <w:snapToGrid/>
              <w:spacing w:line="240" w:lineRule="auto"/>
              <w:jc w:val="center"/>
              <w:rPr>
                <w:rFonts w:ascii="宋体" w:hAnsi="宋体"/>
                <w:color w:val="auto"/>
                <w:szCs w:val="21"/>
                <w:highlight w:val="none"/>
              </w:rPr>
            </w:pPr>
            <w:r>
              <w:rPr>
                <w:rFonts w:hint="eastAsia" w:ascii="宋体" w:hAnsi="宋体"/>
                <w:color w:val="auto"/>
                <w:szCs w:val="21"/>
                <w:highlight w:val="none"/>
              </w:rPr>
              <w:t>是否偏离</w:t>
            </w:r>
          </w:p>
        </w:tc>
        <w:tc>
          <w:tcPr>
            <w:tcW w:w="1384" w:type="dxa"/>
            <w:vAlign w:val="center"/>
          </w:tcPr>
          <w:p w14:paraId="6300ACCF">
            <w:pPr>
              <w:snapToGrid/>
              <w:spacing w:line="240" w:lineRule="auto"/>
              <w:jc w:val="center"/>
              <w:rPr>
                <w:rFonts w:ascii="宋体" w:hAnsi="宋体"/>
                <w:color w:val="auto"/>
                <w:szCs w:val="21"/>
                <w:highlight w:val="none"/>
              </w:rPr>
            </w:pPr>
            <w:r>
              <w:rPr>
                <w:rFonts w:hint="eastAsia" w:ascii="宋体" w:hAnsi="宋体"/>
                <w:color w:val="auto"/>
                <w:szCs w:val="21"/>
                <w:highlight w:val="none"/>
              </w:rPr>
              <w:t>说明</w:t>
            </w:r>
          </w:p>
        </w:tc>
      </w:tr>
      <w:tr w14:paraId="46B55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7F41E553">
            <w:pPr>
              <w:jc w:val="center"/>
              <w:rPr>
                <w:rFonts w:ascii="宋体" w:hAnsi="宋体"/>
                <w:color w:val="auto"/>
                <w:szCs w:val="21"/>
                <w:highlight w:val="none"/>
              </w:rPr>
            </w:pPr>
          </w:p>
        </w:tc>
        <w:tc>
          <w:tcPr>
            <w:tcW w:w="1620" w:type="dxa"/>
            <w:vAlign w:val="center"/>
          </w:tcPr>
          <w:p w14:paraId="69A2FD35">
            <w:pPr>
              <w:jc w:val="center"/>
              <w:rPr>
                <w:rFonts w:ascii="宋体" w:hAnsi="宋体"/>
                <w:color w:val="auto"/>
                <w:szCs w:val="21"/>
                <w:highlight w:val="none"/>
              </w:rPr>
            </w:pPr>
          </w:p>
        </w:tc>
        <w:tc>
          <w:tcPr>
            <w:tcW w:w="1860" w:type="dxa"/>
            <w:vAlign w:val="center"/>
          </w:tcPr>
          <w:p w14:paraId="50831566">
            <w:pPr>
              <w:jc w:val="center"/>
              <w:rPr>
                <w:rFonts w:ascii="宋体" w:hAnsi="宋体"/>
                <w:color w:val="auto"/>
                <w:szCs w:val="21"/>
                <w:highlight w:val="none"/>
              </w:rPr>
            </w:pPr>
          </w:p>
        </w:tc>
        <w:tc>
          <w:tcPr>
            <w:tcW w:w="1869" w:type="dxa"/>
            <w:vAlign w:val="center"/>
          </w:tcPr>
          <w:p w14:paraId="46488A48">
            <w:pPr>
              <w:jc w:val="center"/>
              <w:rPr>
                <w:rFonts w:ascii="宋体" w:hAnsi="宋体"/>
                <w:color w:val="auto"/>
                <w:szCs w:val="21"/>
                <w:highlight w:val="none"/>
              </w:rPr>
            </w:pPr>
          </w:p>
        </w:tc>
        <w:tc>
          <w:tcPr>
            <w:tcW w:w="1339" w:type="dxa"/>
            <w:vAlign w:val="center"/>
          </w:tcPr>
          <w:p w14:paraId="1E0261F2">
            <w:pPr>
              <w:jc w:val="center"/>
              <w:rPr>
                <w:rFonts w:ascii="宋体" w:hAnsi="宋体"/>
                <w:color w:val="auto"/>
                <w:szCs w:val="21"/>
                <w:highlight w:val="none"/>
              </w:rPr>
            </w:pPr>
          </w:p>
        </w:tc>
        <w:tc>
          <w:tcPr>
            <w:tcW w:w="1384" w:type="dxa"/>
            <w:vAlign w:val="center"/>
          </w:tcPr>
          <w:p w14:paraId="0529181A">
            <w:pPr>
              <w:jc w:val="center"/>
              <w:rPr>
                <w:rFonts w:ascii="宋体" w:hAnsi="宋体"/>
                <w:color w:val="auto"/>
                <w:szCs w:val="21"/>
                <w:highlight w:val="none"/>
              </w:rPr>
            </w:pPr>
          </w:p>
        </w:tc>
      </w:tr>
      <w:tr w14:paraId="5362C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0EAC73D9">
            <w:pPr>
              <w:jc w:val="center"/>
              <w:rPr>
                <w:rFonts w:ascii="宋体" w:hAnsi="宋体"/>
                <w:color w:val="auto"/>
                <w:szCs w:val="21"/>
                <w:highlight w:val="none"/>
              </w:rPr>
            </w:pPr>
          </w:p>
        </w:tc>
        <w:tc>
          <w:tcPr>
            <w:tcW w:w="1620" w:type="dxa"/>
            <w:vAlign w:val="center"/>
          </w:tcPr>
          <w:p w14:paraId="4F4C3050">
            <w:pPr>
              <w:jc w:val="center"/>
              <w:rPr>
                <w:rFonts w:ascii="宋体" w:hAnsi="宋体"/>
                <w:color w:val="auto"/>
                <w:szCs w:val="21"/>
                <w:highlight w:val="none"/>
              </w:rPr>
            </w:pPr>
          </w:p>
        </w:tc>
        <w:tc>
          <w:tcPr>
            <w:tcW w:w="1860" w:type="dxa"/>
            <w:vAlign w:val="center"/>
          </w:tcPr>
          <w:p w14:paraId="1C71695E">
            <w:pPr>
              <w:jc w:val="center"/>
              <w:rPr>
                <w:rFonts w:ascii="宋体" w:hAnsi="宋体"/>
                <w:color w:val="auto"/>
                <w:szCs w:val="21"/>
                <w:highlight w:val="none"/>
              </w:rPr>
            </w:pPr>
          </w:p>
        </w:tc>
        <w:tc>
          <w:tcPr>
            <w:tcW w:w="1869" w:type="dxa"/>
            <w:vAlign w:val="center"/>
          </w:tcPr>
          <w:p w14:paraId="3BD4039A">
            <w:pPr>
              <w:jc w:val="center"/>
              <w:rPr>
                <w:rFonts w:ascii="宋体" w:hAnsi="宋体"/>
                <w:color w:val="auto"/>
                <w:szCs w:val="21"/>
                <w:highlight w:val="none"/>
              </w:rPr>
            </w:pPr>
          </w:p>
        </w:tc>
        <w:tc>
          <w:tcPr>
            <w:tcW w:w="1339" w:type="dxa"/>
            <w:vAlign w:val="center"/>
          </w:tcPr>
          <w:p w14:paraId="56211901">
            <w:pPr>
              <w:jc w:val="center"/>
              <w:rPr>
                <w:rFonts w:ascii="宋体" w:hAnsi="宋体"/>
                <w:color w:val="auto"/>
                <w:szCs w:val="21"/>
                <w:highlight w:val="none"/>
              </w:rPr>
            </w:pPr>
          </w:p>
        </w:tc>
        <w:tc>
          <w:tcPr>
            <w:tcW w:w="1384" w:type="dxa"/>
            <w:vAlign w:val="center"/>
          </w:tcPr>
          <w:p w14:paraId="33F306BC">
            <w:pPr>
              <w:jc w:val="center"/>
              <w:rPr>
                <w:rFonts w:ascii="宋体" w:hAnsi="宋体"/>
                <w:color w:val="auto"/>
                <w:szCs w:val="21"/>
                <w:highlight w:val="none"/>
              </w:rPr>
            </w:pPr>
          </w:p>
        </w:tc>
      </w:tr>
      <w:tr w14:paraId="4D3FB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3F1AE625">
            <w:pPr>
              <w:jc w:val="center"/>
              <w:rPr>
                <w:rFonts w:ascii="宋体" w:hAnsi="宋体"/>
                <w:color w:val="auto"/>
                <w:szCs w:val="21"/>
                <w:highlight w:val="none"/>
              </w:rPr>
            </w:pPr>
          </w:p>
        </w:tc>
        <w:tc>
          <w:tcPr>
            <w:tcW w:w="1620" w:type="dxa"/>
            <w:vAlign w:val="center"/>
          </w:tcPr>
          <w:p w14:paraId="43C5DCB6">
            <w:pPr>
              <w:jc w:val="center"/>
              <w:rPr>
                <w:rFonts w:ascii="宋体" w:hAnsi="宋体"/>
                <w:color w:val="auto"/>
                <w:szCs w:val="21"/>
                <w:highlight w:val="none"/>
              </w:rPr>
            </w:pPr>
          </w:p>
        </w:tc>
        <w:tc>
          <w:tcPr>
            <w:tcW w:w="1860" w:type="dxa"/>
            <w:vAlign w:val="center"/>
          </w:tcPr>
          <w:p w14:paraId="6317143C">
            <w:pPr>
              <w:jc w:val="center"/>
              <w:rPr>
                <w:rFonts w:ascii="宋体" w:hAnsi="宋体"/>
                <w:color w:val="auto"/>
                <w:szCs w:val="21"/>
                <w:highlight w:val="none"/>
              </w:rPr>
            </w:pPr>
          </w:p>
        </w:tc>
        <w:tc>
          <w:tcPr>
            <w:tcW w:w="1869" w:type="dxa"/>
            <w:vAlign w:val="center"/>
          </w:tcPr>
          <w:p w14:paraId="2871A01C">
            <w:pPr>
              <w:jc w:val="center"/>
              <w:rPr>
                <w:rFonts w:ascii="宋体" w:hAnsi="宋体"/>
                <w:color w:val="auto"/>
                <w:szCs w:val="21"/>
                <w:highlight w:val="none"/>
              </w:rPr>
            </w:pPr>
          </w:p>
        </w:tc>
        <w:tc>
          <w:tcPr>
            <w:tcW w:w="1339" w:type="dxa"/>
            <w:vAlign w:val="center"/>
          </w:tcPr>
          <w:p w14:paraId="286638C3">
            <w:pPr>
              <w:jc w:val="center"/>
              <w:rPr>
                <w:rFonts w:ascii="宋体" w:hAnsi="宋体"/>
                <w:color w:val="auto"/>
                <w:szCs w:val="21"/>
                <w:highlight w:val="none"/>
              </w:rPr>
            </w:pPr>
          </w:p>
        </w:tc>
        <w:tc>
          <w:tcPr>
            <w:tcW w:w="1384" w:type="dxa"/>
            <w:vAlign w:val="center"/>
          </w:tcPr>
          <w:p w14:paraId="2444A80C">
            <w:pPr>
              <w:jc w:val="center"/>
              <w:rPr>
                <w:rFonts w:ascii="宋体" w:hAnsi="宋体"/>
                <w:color w:val="auto"/>
                <w:szCs w:val="21"/>
                <w:highlight w:val="none"/>
              </w:rPr>
            </w:pPr>
          </w:p>
        </w:tc>
      </w:tr>
      <w:tr w14:paraId="250C9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76C410CB">
            <w:pPr>
              <w:jc w:val="center"/>
              <w:rPr>
                <w:rFonts w:ascii="宋体" w:hAnsi="宋体"/>
                <w:color w:val="auto"/>
                <w:szCs w:val="21"/>
                <w:highlight w:val="none"/>
              </w:rPr>
            </w:pPr>
          </w:p>
        </w:tc>
        <w:tc>
          <w:tcPr>
            <w:tcW w:w="1620" w:type="dxa"/>
            <w:vAlign w:val="center"/>
          </w:tcPr>
          <w:p w14:paraId="45208F78">
            <w:pPr>
              <w:jc w:val="center"/>
              <w:rPr>
                <w:rFonts w:ascii="宋体" w:hAnsi="宋体"/>
                <w:color w:val="auto"/>
                <w:szCs w:val="21"/>
                <w:highlight w:val="none"/>
              </w:rPr>
            </w:pPr>
          </w:p>
        </w:tc>
        <w:tc>
          <w:tcPr>
            <w:tcW w:w="1860" w:type="dxa"/>
            <w:vAlign w:val="center"/>
          </w:tcPr>
          <w:p w14:paraId="1BE968B8">
            <w:pPr>
              <w:jc w:val="center"/>
              <w:rPr>
                <w:rFonts w:ascii="宋体" w:hAnsi="宋体"/>
                <w:color w:val="auto"/>
                <w:szCs w:val="21"/>
                <w:highlight w:val="none"/>
              </w:rPr>
            </w:pPr>
          </w:p>
        </w:tc>
        <w:tc>
          <w:tcPr>
            <w:tcW w:w="1869" w:type="dxa"/>
            <w:vAlign w:val="center"/>
          </w:tcPr>
          <w:p w14:paraId="68DCF5BD">
            <w:pPr>
              <w:jc w:val="center"/>
              <w:rPr>
                <w:rFonts w:ascii="宋体" w:hAnsi="宋体"/>
                <w:color w:val="auto"/>
                <w:szCs w:val="21"/>
                <w:highlight w:val="none"/>
              </w:rPr>
            </w:pPr>
          </w:p>
        </w:tc>
        <w:tc>
          <w:tcPr>
            <w:tcW w:w="1339" w:type="dxa"/>
            <w:vAlign w:val="center"/>
          </w:tcPr>
          <w:p w14:paraId="52A46C24">
            <w:pPr>
              <w:jc w:val="center"/>
              <w:rPr>
                <w:rFonts w:ascii="宋体" w:hAnsi="宋体"/>
                <w:color w:val="auto"/>
                <w:szCs w:val="21"/>
                <w:highlight w:val="none"/>
              </w:rPr>
            </w:pPr>
          </w:p>
        </w:tc>
        <w:tc>
          <w:tcPr>
            <w:tcW w:w="1384" w:type="dxa"/>
            <w:vAlign w:val="center"/>
          </w:tcPr>
          <w:p w14:paraId="212F53B6">
            <w:pPr>
              <w:jc w:val="center"/>
              <w:rPr>
                <w:rFonts w:ascii="宋体" w:hAnsi="宋体"/>
                <w:color w:val="auto"/>
                <w:szCs w:val="21"/>
                <w:highlight w:val="none"/>
              </w:rPr>
            </w:pPr>
          </w:p>
        </w:tc>
      </w:tr>
      <w:tr w14:paraId="30625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638C30EA">
            <w:pPr>
              <w:jc w:val="center"/>
              <w:rPr>
                <w:rFonts w:ascii="宋体" w:hAnsi="宋体"/>
                <w:color w:val="auto"/>
                <w:szCs w:val="21"/>
                <w:highlight w:val="none"/>
              </w:rPr>
            </w:pPr>
          </w:p>
        </w:tc>
        <w:tc>
          <w:tcPr>
            <w:tcW w:w="1620" w:type="dxa"/>
            <w:vAlign w:val="center"/>
          </w:tcPr>
          <w:p w14:paraId="5808552A">
            <w:pPr>
              <w:jc w:val="center"/>
              <w:rPr>
                <w:rFonts w:ascii="宋体" w:hAnsi="宋体"/>
                <w:color w:val="auto"/>
                <w:szCs w:val="21"/>
                <w:highlight w:val="none"/>
              </w:rPr>
            </w:pPr>
          </w:p>
        </w:tc>
        <w:tc>
          <w:tcPr>
            <w:tcW w:w="1860" w:type="dxa"/>
            <w:vAlign w:val="center"/>
          </w:tcPr>
          <w:p w14:paraId="4C459676">
            <w:pPr>
              <w:jc w:val="center"/>
              <w:rPr>
                <w:rFonts w:ascii="宋体" w:hAnsi="宋体"/>
                <w:color w:val="auto"/>
                <w:szCs w:val="21"/>
                <w:highlight w:val="none"/>
              </w:rPr>
            </w:pPr>
          </w:p>
        </w:tc>
        <w:tc>
          <w:tcPr>
            <w:tcW w:w="1869" w:type="dxa"/>
            <w:vAlign w:val="center"/>
          </w:tcPr>
          <w:p w14:paraId="2098E54C">
            <w:pPr>
              <w:jc w:val="center"/>
              <w:rPr>
                <w:rFonts w:ascii="宋体" w:hAnsi="宋体"/>
                <w:color w:val="auto"/>
                <w:szCs w:val="21"/>
                <w:highlight w:val="none"/>
              </w:rPr>
            </w:pPr>
          </w:p>
        </w:tc>
        <w:tc>
          <w:tcPr>
            <w:tcW w:w="1339" w:type="dxa"/>
            <w:vAlign w:val="center"/>
          </w:tcPr>
          <w:p w14:paraId="2DEFD534">
            <w:pPr>
              <w:jc w:val="center"/>
              <w:rPr>
                <w:rFonts w:ascii="宋体" w:hAnsi="宋体"/>
                <w:color w:val="auto"/>
                <w:szCs w:val="21"/>
                <w:highlight w:val="none"/>
              </w:rPr>
            </w:pPr>
          </w:p>
        </w:tc>
        <w:tc>
          <w:tcPr>
            <w:tcW w:w="1384" w:type="dxa"/>
            <w:vAlign w:val="center"/>
          </w:tcPr>
          <w:p w14:paraId="4D8C71D4">
            <w:pPr>
              <w:jc w:val="center"/>
              <w:rPr>
                <w:rFonts w:ascii="宋体" w:hAnsi="宋体"/>
                <w:color w:val="auto"/>
                <w:szCs w:val="21"/>
                <w:highlight w:val="none"/>
              </w:rPr>
            </w:pPr>
          </w:p>
        </w:tc>
      </w:tr>
      <w:tr w14:paraId="620B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0CE56560">
            <w:pPr>
              <w:jc w:val="center"/>
              <w:rPr>
                <w:rFonts w:ascii="宋体" w:hAnsi="宋体"/>
                <w:color w:val="auto"/>
                <w:szCs w:val="21"/>
                <w:highlight w:val="none"/>
              </w:rPr>
            </w:pPr>
          </w:p>
        </w:tc>
        <w:tc>
          <w:tcPr>
            <w:tcW w:w="1620" w:type="dxa"/>
            <w:vAlign w:val="center"/>
          </w:tcPr>
          <w:p w14:paraId="7D9F1155">
            <w:pPr>
              <w:jc w:val="center"/>
              <w:rPr>
                <w:rFonts w:ascii="宋体" w:hAnsi="宋体"/>
                <w:color w:val="auto"/>
                <w:szCs w:val="21"/>
                <w:highlight w:val="none"/>
              </w:rPr>
            </w:pPr>
          </w:p>
        </w:tc>
        <w:tc>
          <w:tcPr>
            <w:tcW w:w="1860" w:type="dxa"/>
            <w:vAlign w:val="center"/>
          </w:tcPr>
          <w:p w14:paraId="74984473">
            <w:pPr>
              <w:jc w:val="center"/>
              <w:rPr>
                <w:rFonts w:ascii="宋体" w:hAnsi="宋体"/>
                <w:color w:val="auto"/>
                <w:szCs w:val="21"/>
                <w:highlight w:val="none"/>
              </w:rPr>
            </w:pPr>
          </w:p>
        </w:tc>
        <w:tc>
          <w:tcPr>
            <w:tcW w:w="1869" w:type="dxa"/>
            <w:vAlign w:val="center"/>
          </w:tcPr>
          <w:p w14:paraId="7203563E">
            <w:pPr>
              <w:jc w:val="center"/>
              <w:rPr>
                <w:rFonts w:ascii="宋体" w:hAnsi="宋体"/>
                <w:color w:val="auto"/>
                <w:szCs w:val="21"/>
                <w:highlight w:val="none"/>
              </w:rPr>
            </w:pPr>
          </w:p>
        </w:tc>
        <w:tc>
          <w:tcPr>
            <w:tcW w:w="1339" w:type="dxa"/>
            <w:vAlign w:val="center"/>
          </w:tcPr>
          <w:p w14:paraId="2A3A03FF">
            <w:pPr>
              <w:jc w:val="center"/>
              <w:rPr>
                <w:rFonts w:ascii="宋体" w:hAnsi="宋体"/>
                <w:color w:val="auto"/>
                <w:szCs w:val="21"/>
                <w:highlight w:val="none"/>
              </w:rPr>
            </w:pPr>
          </w:p>
        </w:tc>
        <w:tc>
          <w:tcPr>
            <w:tcW w:w="1384" w:type="dxa"/>
            <w:vAlign w:val="center"/>
          </w:tcPr>
          <w:p w14:paraId="3D2CB4EC">
            <w:pPr>
              <w:jc w:val="center"/>
              <w:rPr>
                <w:rFonts w:ascii="宋体" w:hAnsi="宋体"/>
                <w:color w:val="auto"/>
                <w:szCs w:val="21"/>
                <w:highlight w:val="none"/>
              </w:rPr>
            </w:pPr>
          </w:p>
        </w:tc>
      </w:tr>
      <w:tr w14:paraId="1F1E9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0B4F39C7">
            <w:pPr>
              <w:jc w:val="center"/>
              <w:rPr>
                <w:rFonts w:ascii="宋体" w:hAnsi="宋体"/>
                <w:color w:val="auto"/>
                <w:szCs w:val="21"/>
                <w:highlight w:val="none"/>
              </w:rPr>
            </w:pPr>
          </w:p>
        </w:tc>
        <w:tc>
          <w:tcPr>
            <w:tcW w:w="1620" w:type="dxa"/>
            <w:vAlign w:val="center"/>
          </w:tcPr>
          <w:p w14:paraId="4AB886CA">
            <w:pPr>
              <w:jc w:val="center"/>
              <w:rPr>
                <w:rFonts w:ascii="宋体" w:hAnsi="宋体"/>
                <w:color w:val="auto"/>
                <w:szCs w:val="21"/>
                <w:highlight w:val="none"/>
              </w:rPr>
            </w:pPr>
          </w:p>
        </w:tc>
        <w:tc>
          <w:tcPr>
            <w:tcW w:w="1860" w:type="dxa"/>
            <w:vAlign w:val="center"/>
          </w:tcPr>
          <w:p w14:paraId="14F29471">
            <w:pPr>
              <w:jc w:val="center"/>
              <w:rPr>
                <w:rFonts w:ascii="宋体" w:hAnsi="宋体"/>
                <w:color w:val="auto"/>
                <w:szCs w:val="21"/>
                <w:highlight w:val="none"/>
              </w:rPr>
            </w:pPr>
          </w:p>
        </w:tc>
        <w:tc>
          <w:tcPr>
            <w:tcW w:w="1869" w:type="dxa"/>
            <w:vAlign w:val="center"/>
          </w:tcPr>
          <w:p w14:paraId="4F474F4F">
            <w:pPr>
              <w:jc w:val="center"/>
              <w:rPr>
                <w:rFonts w:ascii="宋体" w:hAnsi="宋体"/>
                <w:color w:val="auto"/>
                <w:szCs w:val="21"/>
                <w:highlight w:val="none"/>
              </w:rPr>
            </w:pPr>
          </w:p>
        </w:tc>
        <w:tc>
          <w:tcPr>
            <w:tcW w:w="1339" w:type="dxa"/>
            <w:vAlign w:val="center"/>
          </w:tcPr>
          <w:p w14:paraId="3E88C1A2">
            <w:pPr>
              <w:jc w:val="center"/>
              <w:rPr>
                <w:rFonts w:ascii="宋体" w:hAnsi="宋体"/>
                <w:color w:val="auto"/>
                <w:szCs w:val="21"/>
                <w:highlight w:val="none"/>
              </w:rPr>
            </w:pPr>
          </w:p>
        </w:tc>
        <w:tc>
          <w:tcPr>
            <w:tcW w:w="1384" w:type="dxa"/>
            <w:vAlign w:val="center"/>
          </w:tcPr>
          <w:p w14:paraId="13F5D524">
            <w:pPr>
              <w:jc w:val="center"/>
              <w:rPr>
                <w:rFonts w:ascii="宋体" w:hAnsi="宋体"/>
                <w:color w:val="auto"/>
                <w:szCs w:val="21"/>
                <w:highlight w:val="none"/>
              </w:rPr>
            </w:pPr>
          </w:p>
        </w:tc>
      </w:tr>
      <w:tr w14:paraId="0161A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253FD02F">
            <w:pPr>
              <w:jc w:val="center"/>
              <w:rPr>
                <w:rFonts w:ascii="宋体" w:hAnsi="宋体"/>
                <w:color w:val="auto"/>
                <w:szCs w:val="21"/>
                <w:highlight w:val="none"/>
              </w:rPr>
            </w:pPr>
          </w:p>
        </w:tc>
        <w:tc>
          <w:tcPr>
            <w:tcW w:w="1620" w:type="dxa"/>
            <w:vAlign w:val="center"/>
          </w:tcPr>
          <w:p w14:paraId="1E83CD7E">
            <w:pPr>
              <w:jc w:val="center"/>
              <w:rPr>
                <w:rFonts w:ascii="宋体" w:hAnsi="宋体"/>
                <w:color w:val="auto"/>
                <w:szCs w:val="21"/>
                <w:highlight w:val="none"/>
              </w:rPr>
            </w:pPr>
          </w:p>
        </w:tc>
        <w:tc>
          <w:tcPr>
            <w:tcW w:w="1860" w:type="dxa"/>
            <w:vAlign w:val="center"/>
          </w:tcPr>
          <w:p w14:paraId="36597C61">
            <w:pPr>
              <w:jc w:val="center"/>
              <w:rPr>
                <w:rFonts w:ascii="宋体" w:hAnsi="宋体"/>
                <w:color w:val="auto"/>
                <w:szCs w:val="21"/>
                <w:highlight w:val="none"/>
              </w:rPr>
            </w:pPr>
          </w:p>
        </w:tc>
        <w:tc>
          <w:tcPr>
            <w:tcW w:w="1869" w:type="dxa"/>
            <w:vAlign w:val="center"/>
          </w:tcPr>
          <w:p w14:paraId="306D4D38">
            <w:pPr>
              <w:jc w:val="center"/>
              <w:rPr>
                <w:rFonts w:ascii="宋体" w:hAnsi="宋体"/>
                <w:color w:val="auto"/>
                <w:szCs w:val="21"/>
                <w:highlight w:val="none"/>
              </w:rPr>
            </w:pPr>
          </w:p>
        </w:tc>
        <w:tc>
          <w:tcPr>
            <w:tcW w:w="1339" w:type="dxa"/>
            <w:vAlign w:val="center"/>
          </w:tcPr>
          <w:p w14:paraId="67C602B6">
            <w:pPr>
              <w:jc w:val="center"/>
              <w:rPr>
                <w:rFonts w:ascii="宋体" w:hAnsi="宋体"/>
                <w:color w:val="auto"/>
                <w:szCs w:val="21"/>
                <w:highlight w:val="none"/>
              </w:rPr>
            </w:pPr>
          </w:p>
        </w:tc>
        <w:tc>
          <w:tcPr>
            <w:tcW w:w="1384" w:type="dxa"/>
            <w:vAlign w:val="center"/>
          </w:tcPr>
          <w:p w14:paraId="208DE998">
            <w:pPr>
              <w:jc w:val="center"/>
              <w:rPr>
                <w:rFonts w:ascii="宋体" w:hAnsi="宋体"/>
                <w:color w:val="auto"/>
                <w:szCs w:val="21"/>
                <w:highlight w:val="none"/>
              </w:rPr>
            </w:pPr>
          </w:p>
        </w:tc>
      </w:tr>
      <w:tr w14:paraId="281F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6FA823A4">
            <w:pPr>
              <w:jc w:val="center"/>
              <w:rPr>
                <w:rFonts w:ascii="宋体" w:hAnsi="宋体"/>
                <w:color w:val="auto"/>
                <w:szCs w:val="21"/>
                <w:highlight w:val="none"/>
              </w:rPr>
            </w:pPr>
          </w:p>
        </w:tc>
        <w:tc>
          <w:tcPr>
            <w:tcW w:w="1620" w:type="dxa"/>
            <w:vAlign w:val="center"/>
          </w:tcPr>
          <w:p w14:paraId="2D3DC1B4">
            <w:pPr>
              <w:jc w:val="center"/>
              <w:rPr>
                <w:rFonts w:ascii="宋体" w:hAnsi="宋体"/>
                <w:color w:val="auto"/>
                <w:szCs w:val="21"/>
                <w:highlight w:val="none"/>
              </w:rPr>
            </w:pPr>
          </w:p>
        </w:tc>
        <w:tc>
          <w:tcPr>
            <w:tcW w:w="1860" w:type="dxa"/>
            <w:vAlign w:val="center"/>
          </w:tcPr>
          <w:p w14:paraId="7486BA78">
            <w:pPr>
              <w:jc w:val="center"/>
              <w:rPr>
                <w:rFonts w:ascii="宋体" w:hAnsi="宋体"/>
                <w:color w:val="auto"/>
                <w:szCs w:val="21"/>
                <w:highlight w:val="none"/>
              </w:rPr>
            </w:pPr>
          </w:p>
        </w:tc>
        <w:tc>
          <w:tcPr>
            <w:tcW w:w="1869" w:type="dxa"/>
            <w:vAlign w:val="center"/>
          </w:tcPr>
          <w:p w14:paraId="21873CDC">
            <w:pPr>
              <w:jc w:val="center"/>
              <w:rPr>
                <w:rFonts w:ascii="宋体" w:hAnsi="宋体"/>
                <w:color w:val="auto"/>
                <w:szCs w:val="21"/>
                <w:highlight w:val="none"/>
              </w:rPr>
            </w:pPr>
          </w:p>
        </w:tc>
        <w:tc>
          <w:tcPr>
            <w:tcW w:w="1339" w:type="dxa"/>
            <w:vAlign w:val="center"/>
          </w:tcPr>
          <w:p w14:paraId="78009D23">
            <w:pPr>
              <w:jc w:val="center"/>
              <w:rPr>
                <w:rFonts w:ascii="宋体" w:hAnsi="宋体"/>
                <w:color w:val="auto"/>
                <w:szCs w:val="21"/>
                <w:highlight w:val="none"/>
              </w:rPr>
            </w:pPr>
          </w:p>
        </w:tc>
        <w:tc>
          <w:tcPr>
            <w:tcW w:w="1384" w:type="dxa"/>
            <w:vAlign w:val="center"/>
          </w:tcPr>
          <w:p w14:paraId="2D4A98CF">
            <w:pPr>
              <w:jc w:val="center"/>
              <w:rPr>
                <w:rFonts w:ascii="宋体" w:hAnsi="宋体"/>
                <w:color w:val="auto"/>
                <w:szCs w:val="21"/>
                <w:highlight w:val="none"/>
              </w:rPr>
            </w:pPr>
          </w:p>
        </w:tc>
      </w:tr>
      <w:tr w14:paraId="324BA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2F6DC991">
            <w:pPr>
              <w:jc w:val="center"/>
              <w:rPr>
                <w:rFonts w:ascii="宋体" w:hAnsi="宋体"/>
                <w:color w:val="auto"/>
                <w:szCs w:val="21"/>
                <w:highlight w:val="none"/>
              </w:rPr>
            </w:pPr>
          </w:p>
        </w:tc>
        <w:tc>
          <w:tcPr>
            <w:tcW w:w="1620" w:type="dxa"/>
            <w:vAlign w:val="center"/>
          </w:tcPr>
          <w:p w14:paraId="30E74AF1">
            <w:pPr>
              <w:jc w:val="center"/>
              <w:rPr>
                <w:rFonts w:ascii="宋体" w:hAnsi="宋体"/>
                <w:color w:val="auto"/>
                <w:szCs w:val="21"/>
                <w:highlight w:val="none"/>
              </w:rPr>
            </w:pPr>
          </w:p>
        </w:tc>
        <w:tc>
          <w:tcPr>
            <w:tcW w:w="1860" w:type="dxa"/>
            <w:vAlign w:val="center"/>
          </w:tcPr>
          <w:p w14:paraId="5239E3C8">
            <w:pPr>
              <w:jc w:val="center"/>
              <w:rPr>
                <w:rFonts w:ascii="宋体" w:hAnsi="宋体"/>
                <w:color w:val="auto"/>
                <w:szCs w:val="21"/>
                <w:highlight w:val="none"/>
              </w:rPr>
            </w:pPr>
          </w:p>
        </w:tc>
        <w:tc>
          <w:tcPr>
            <w:tcW w:w="1869" w:type="dxa"/>
            <w:vAlign w:val="center"/>
          </w:tcPr>
          <w:p w14:paraId="5290FEAA">
            <w:pPr>
              <w:jc w:val="center"/>
              <w:rPr>
                <w:rFonts w:ascii="宋体" w:hAnsi="宋体"/>
                <w:color w:val="auto"/>
                <w:szCs w:val="21"/>
                <w:highlight w:val="none"/>
              </w:rPr>
            </w:pPr>
          </w:p>
        </w:tc>
        <w:tc>
          <w:tcPr>
            <w:tcW w:w="1339" w:type="dxa"/>
            <w:vAlign w:val="center"/>
          </w:tcPr>
          <w:p w14:paraId="5C59A2F4">
            <w:pPr>
              <w:jc w:val="center"/>
              <w:rPr>
                <w:rFonts w:ascii="宋体" w:hAnsi="宋体"/>
                <w:color w:val="auto"/>
                <w:szCs w:val="21"/>
                <w:highlight w:val="none"/>
              </w:rPr>
            </w:pPr>
          </w:p>
        </w:tc>
        <w:tc>
          <w:tcPr>
            <w:tcW w:w="1384" w:type="dxa"/>
            <w:vAlign w:val="center"/>
          </w:tcPr>
          <w:p w14:paraId="015B6138">
            <w:pPr>
              <w:jc w:val="center"/>
              <w:rPr>
                <w:rFonts w:ascii="宋体" w:hAnsi="宋体"/>
                <w:color w:val="auto"/>
                <w:szCs w:val="21"/>
                <w:highlight w:val="none"/>
              </w:rPr>
            </w:pPr>
          </w:p>
        </w:tc>
      </w:tr>
    </w:tbl>
    <w:p w14:paraId="3A7A5E2F">
      <w:pPr>
        <w:rPr>
          <w:rFonts w:ascii="宋体" w:hAnsi="宋体"/>
          <w:color w:val="auto"/>
          <w:szCs w:val="21"/>
          <w:highlight w:val="none"/>
        </w:rPr>
      </w:pPr>
    </w:p>
    <w:p w14:paraId="7B704A2A">
      <w:pPr>
        <w:rPr>
          <w:rFonts w:ascii="宋体" w:hAnsi="宋体"/>
          <w:color w:val="auto"/>
          <w:szCs w:val="21"/>
          <w:highlight w:val="none"/>
        </w:rPr>
      </w:pPr>
      <w:r>
        <w:rPr>
          <w:rFonts w:hint="eastAsia" w:ascii="宋体" w:hAnsi="宋体"/>
          <w:color w:val="auto"/>
          <w:szCs w:val="21"/>
          <w:highlight w:val="none"/>
        </w:rPr>
        <w:t>投标人代表签字：</w:t>
      </w:r>
    </w:p>
    <w:p w14:paraId="357F466F">
      <w:pPr>
        <w:rPr>
          <w:rFonts w:ascii="宋体" w:hAnsi="宋体"/>
          <w:color w:val="auto"/>
          <w:szCs w:val="21"/>
          <w:highlight w:val="none"/>
        </w:rPr>
      </w:pPr>
      <w:r>
        <w:rPr>
          <w:rFonts w:hint="eastAsia" w:ascii="宋体" w:hAnsi="宋体"/>
          <w:color w:val="auto"/>
          <w:szCs w:val="21"/>
          <w:highlight w:val="none"/>
        </w:rPr>
        <w:t>投标人盖章：</w:t>
      </w:r>
    </w:p>
    <w:p w14:paraId="67F4D737">
      <w:pPr>
        <w:rPr>
          <w:rFonts w:ascii="宋体" w:hAnsi="宋体"/>
          <w:color w:val="auto"/>
          <w:szCs w:val="21"/>
          <w:highlight w:val="none"/>
        </w:rPr>
      </w:pPr>
    </w:p>
    <w:p w14:paraId="510551B0">
      <w:pPr>
        <w:ind w:left="718" w:hanging="718" w:hangingChars="342"/>
        <w:rPr>
          <w:rFonts w:ascii="宋体" w:hAnsi="宋体"/>
          <w:color w:val="auto"/>
          <w:szCs w:val="21"/>
          <w:highlight w:val="none"/>
        </w:rPr>
      </w:pPr>
      <w:r>
        <w:rPr>
          <w:rFonts w:hint="eastAsia" w:ascii="宋体" w:hAnsi="宋体"/>
          <w:color w:val="auto"/>
          <w:szCs w:val="21"/>
          <w:highlight w:val="none"/>
        </w:rPr>
        <w:t>注：</w:t>
      </w:r>
    </w:p>
    <w:p w14:paraId="23ACA2AC">
      <w:pPr>
        <w:rPr>
          <w:rFonts w:ascii="宋体" w:hAnsi="宋体"/>
          <w:color w:val="auto"/>
          <w:szCs w:val="21"/>
          <w:highlight w:val="none"/>
        </w:rPr>
      </w:pPr>
      <w:r>
        <w:rPr>
          <w:rFonts w:hint="eastAsia" w:ascii="宋体" w:hAnsi="宋体"/>
          <w:color w:val="auto"/>
          <w:szCs w:val="21"/>
          <w:highlight w:val="none"/>
        </w:rPr>
        <w:t>1、投标人应对照采购文件商务需求书中商务要求，说明已对采购文件的商务内容做出了实质性的响应。</w:t>
      </w:r>
    </w:p>
    <w:p w14:paraId="6199C788">
      <w:pPr>
        <w:rPr>
          <w:rFonts w:ascii="宋体" w:hAnsi="宋体"/>
          <w:color w:val="auto"/>
          <w:szCs w:val="21"/>
          <w:highlight w:val="none"/>
        </w:rPr>
      </w:pPr>
      <w:r>
        <w:rPr>
          <w:rFonts w:hint="eastAsia" w:ascii="宋体" w:hAnsi="宋体"/>
          <w:color w:val="auto"/>
          <w:szCs w:val="21"/>
          <w:highlight w:val="none"/>
        </w:rPr>
        <w:t>2、</w:t>
      </w:r>
      <w:r>
        <w:rPr>
          <w:rFonts w:hint="eastAsia" w:hAnsi="宋体" w:cs="宋体"/>
          <w:color w:val="auto"/>
          <w:szCs w:val="21"/>
          <w:highlight w:val="none"/>
        </w:rPr>
        <w:t>不论出于何种原因此表未填写</w:t>
      </w:r>
      <w:r>
        <w:rPr>
          <w:rFonts w:hint="eastAsia" w:ascii="宋体" w:hAnsi="宋体"/>
          <w:color w:val="auto"/>
          <w:szCs w:val="21"/>
          <w:highlight w:val="none"/>
        </w:rPr>
        <w:t>完整</w:t>
      </w:r>
      <w:r>
        <w:rPr>
          <w:rFonts w:hint="eastAsia" w:hAnsi="宋体" w:cs="宋体"/>
          <w:color w:val="auto"/>
          <w:szCs w:val="21"/>
          <w:highlight w:val="none"/>
        </w:rPr>
        <w:t>，投标人都被认为已清楚了解采购文件“</w:t>
      </w:r>
      <w:r>
        <w:rPr>
          <w:rFonts w:hint="eastAsia" w:ascii="宋体" w:hAnsi="宋体"/>
          <w:color w:val="auto"/>
          <w:szCs w:val="21"/>
          <w:highlight w:val="none"/>
        </w:rPr>
        <w:t>商务</w:t>
      </w:r>
      <w:r>
        <w:rPr>
          <w:rFonts w:hint="eastAsia" w:hAnsi="宋体" w:cs="宋体"/>
          <w:color w:val="auto"/>
          <w:szCs w:val="21"/>
          <w:highlight w:val="none"/>
        </w:rPr>
        <w:t>需求书”的内容并对采购人所需的服务要求作全面响应，投标人必须承担完成“</w:t>
      </w:r>
      <w:r>
        <w:rPr>
          <w:rFonts w:hint="eastAsia" w:ascii="宋体" w:hAnsi="宋体"/>
          <w:color w:val="auto"/>
          <w:szCs w:val="21"/>
          <w:highlight w:val="none"/>
        </w:rPr>
        <w:t>商务</w:t>
      </w:r>
      <w:r>
        <w:rPr>
          <w:rFonts w:hint="eastAsia" w:hAnsi="宋体" w:cs="宋体"/>
          <w:color w:val="auto"/>
          <w:szCs w:val="21"/>
          <w:highlight w:val="none"/>
        </w:rPr>
        <w:t>需求书”所描述内容的义务</w:t>
      </w:r>
      <w:r>
        <w:rPr>
          <w:rFonts w:hint="eastAsia" w:ascii="宋体" w:hAnsi="宋体"/>
          <w:color w:val="auto"/>
          <w:szCs w:val="21"/>
          <w:highlight w:val="none"/>
        </w:rPr>
        <w:t>，因此对投标人投标产生负面影响的，投标人自行承担后果。</w:t>
      </w:r>
    </w:p>
    <w:p w14:paraId="248B7B01">
      <w:pPr>
        <w:rPr>
          <w:rFonts w:ascii="宋体" w:hAnsi="宋体"/>
          <w:color w:val="auto"/>
          <w:szCs w:val="21"/>
          <w:highlight w:val="none"/>
        </w:rPr>
      </w:pPr>
      <w:r>
        <w:rPr>
          <w:rFonts w:hint="eastAsia" w:ascii="宋体" w:hAnsi="宋体"/>
          <w:color w:val="auto"/>
          <w:szCs w:val="21"/>
          <w:highlight w:val="none"/>
        </w:rPr>
        <w:t>3、</w:t>
      </w:r>
      <w:r>
        <w:rPr>
          <w:rFonts w:hint="eastAsia" w:hAnsi="宋体" w:cs="宋体"/>
          <w:color w:val="auto"/>
          <w:szCs w:val="21"/>
          <w:highlight w:val="none"/>
        </w:rPr>
        <w:t>如有偏离，应在“偏离情况”栏内注明“正”、“负”或“无”，并在“说明”栏内予以说明。</w:t>
      </w:r>
    </w:p>
    <w:p w14:paraId="6AF936D1">
      <w:pPr>
        <w:rPr>
          <w:rFonts w:ascii="宋体" w:hAnsi="宋体"/>
          <w:color w:val="auto"/>
          <w:szCs w:val="21"/>
          <w:highlight w:val="none"/>
        </w:rPr>
      </w:pPr>
      <w:r>
        <w:rPr>
          <w:rFonts w:hint="eastAsia" w:ascii="宋体" w:hAnsi="宋体"/>
          <w:color w:val="auto"/>
          <w:szCs w:val="21"/>
          <w:highlight w:val="none"/>
        </w:rPr>
        <w:t>4、</w:t>
      </w:r>
      <w:r>
        <w:rPr>
          <w:rFonts w:hint="eastAsia" w:hAnsi="宋体" w:cs="宋体"/>
          <w:color w:val="auto"/>
          <w:szCs w:val="21"/>
          <w:highlight w:val="none"/>
        </w:rPr>
        <w:t>如投标人差异内容较多可另附页说明。</w:t>
      </w:r>
    </w:p>
    <w:p w14:paraId="51E391FD">
      <w:pPr>
        <w:rPr>
          <w:rFonts w:ascii="宋体" w:hAnsi="宋体"/>
          <w:color w:val="auto"/>
          <w:szCs w:val="21"/>
          <w:highlight w:val="none"/>
        </w:rPr>
      </w:pPr>
      <w:r>
        <w:rPr>
          <w:rFonts w:hint="eastAsia" w:ascii="宋体" w:hAnsi="宋体"/>
          <w:color w:val="auto"/>
          <w:szCs w:val="21"/>
          <w:highlight w:val="none"/>
        </w:rPr>
        <w:t>5、</w:t>
      </w:r>
      <w:r>
        <w:rPr>
          <w:rFonts w:hint="eastAsia" w:hAnsi="宋体" w:cs="宋体"/>
          <w:color w:val="auto"/>
          <w:szCs w:val="21"/>
          <w:highlight w:val="none"/>
        </w:rPr>
        <w:t>如投标人对用户需求书商务要求的条款全部响应的，也可以在表格下面用文字总括性的说明。</w:t>
      </w:r>
    </w:p>
    <w:p w14:paraId="444B5964">
      <w:pPr>
        <w:rPr>
          <w:rFonts w:ascii="宋体" w:hAnsi="宋体"/>
          <w:color w:val="auto"/>
          <w:szCs w:val="21"/>
          <w:highlight w:val="none"/>
        </w:rPr>
      </w:pPr>
      <w:r>
        <w:rPr>
          <w:rFonts w:hint="eastAsia" w:ascii="宋体" w:hAnsi="宋体"/>
          <w:color w:val="auto"/>
          <w:szCs w:val="21"/>
          <w:highlight w:val="none"/>
        </w:rPr>
        <w:br w:type="page"/>
      </w:r>
    </w:p>
    <w:p w14:paraId="10242633">
      <w:pPr>
        <w:pStyle w:val="8"/>
        <w:widowControl w:val="0"/>
        <w:overflowPunct w:val="0"/>
        <w:spacing w:line="240" w:lineRule="auto"/>
        <w:rPr>
          <w:rFonts w:ascii="宋体" w:hAnsi="宋体"/>
          <w:color w:val="auto"/>
          <w:sz w:val="30"/>
          <w:szCs w:val="30"/>
          <w:highlight w:val="none"/>
        </w:rPr>
      </w:pPr>
      <w:bookmarkStart w:id="238" w:name="_Toc22347"/>
      <w:bookmarkStart w:id="239" w:name="_Toc15204"/>
      <w:r>
        <w:rPr>
          <w:rFonts w:hint="eastAsia" w:ascii="宋体" w:hAnsi="宋体"/>
          <w:color w:val="auto"/>
          <w:sz w:val="21"/>
          <w:szCs w:val="21"/>
          <w:highlight w:val="none"/>
        </w:rPr>
        <w:t>附件1</w:t>
      </w: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.业绩表</w:t>
      </w:r>
      <w:bookmarkEnd w:id="238"/>
      <w:bookmarkEnd w:id="239"/>
    </w:p>
    <w:p w14:paraId="7FDEC8AD">
      <w:pPr>
        <w:jc w:val="center"/>
        <w:rPr>
          <w:rFonts w:ascii="黑体" w:eastAsia="黑体"/>
          <w:color w:val="auto"/>
          <w:sz w:val="28"/>
          <w:szCs w:val="28"/>
          <w:highlight w:val="none"/>
        </w:rPr>
      </w:pPr>
      <w:r>
        <w:rPr>
          <w:rFonts w:hint="eastAsia" w:ascii="黑体" w:eastAsia="黑体"/>
          <w:color w:val="auto"/>
          <w:sz w:val="28"/>
          <w:szCs w:val="28"/>
          <w:highlight w:val="none"/>
        </w:rPr>
        <w:t>业绩表</w:t>
      </w:r>
    </w:p>
    <w:tbl>
      <w:tblPr>
        <w:tblStyle w:val="33"/>
        <w:tblW w:w="90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3646"/>
        <w:gridCol w:w="1523"/>
        <w:gridCol w:w="2170"/>
        <w:gridCol w:w="923"/>
      </w:tblGrid>
      <w:tr w14:paraId="0AF1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30" w:type="dxa"/>
            <w:vAlign w:val="center"/>
          </w:tcPr>
          <w:p w14:paraId="26FDC840">
            <w:pPr>
              <w:adjustRightInd/>
              <w:snapToGrid/>
              <w:jc w:val="center"/>
              <w:rPr>
                <w:rFonts w:ascii="宋体" w:hAnsi="宋体"/>
                <w:color w:val="auto"/>
                <w:szCs w:val="21"/>
                <w:highlight w:val="none"/>
              </w:rPr>
            </w:pPr>
            <w:r>
              <w:rPr>
                <w:rFonts w:hint="eastAsia" w:ascii="宋体" w:hAnsi="宋体"/>
                <w:color w:val="auto"/>
                <w:szCs w:val="21"/>
                <w:highlight w:val="none"/>
              </w:rPr>
              <w:t>序号</w:t>
            </w:r>
          </w:p>
        </w:tc>
        <w:tc>
          <w:tcPr>
            <w:tcW w:w="3646" w:type="dxa"/>
            <w:vAlign w:val="center"/>
          </w:tcPr>
          <w:p w14:paraId="218850C3">
            <w:pPr>
              <w:adjustRightInd/>
              <w:snapToGrid/>
              <w:jc w:val="center"/>
              <w:rPr>
                <w:rFonts w:ascii="宋体" w:hAnsi="宋体"/>
                <w:color w:val="auto"/>
                <w:szCs w:val="21"/>
                <w:highlight w:val="none"/>
              </w:rPr>
            </w:pPr>
            <w:r>
              <w:rPr>
                <w:rFonts w:hint="eastAsia" w:ascii="宋体" w:hAnsi="宋体"/>
                <w:color w:val="auto"/>
                <w:szCs w:val="21"/>
                <w:highlight w:val="none"/>
              </w:rPr>
              <w:t>项目名称</w:t>
            </w:r>
          </w:p>
        </w:tc>
        <w:tc>
          <w:tcPr>
            <w:tcW w:w="1523" w:type="dxa"/>
            <w:vAlign w:val="center"/>
          </w:tcPr>
          <w:p w14:paraId="4EF76903">
            <w:pPr>
              <w:adjustRightInd/>
              <w:snapToGrid/>
              <w:jc w:val="center"/>
              <w:rPr>
                <w:rFonts w:ascii="宋体" w:hAnsi="宋体"/>
                <w:color w:val="auto"/>
                <w:szCs w:val="21"/>
                <w:highlight w:val="none"/>
              </w:rPr>
            </w:pPr>
            <w:r>
              <w:rPr>
                <w:rFonts w:hint="eastAsia" w:ascii="宋体" w:hAnsi="宋体"/>
                <w:color w:val="auto"/>
                <w:szCs w:val="21"/>
                <w:highlight w:val="none"/>
              </w:rPr>
              <w:t>项目金额</w:t>
            </w:r>
          </w:p>
        </w:tc>
        <w:tc>
          <w:tcPr>
            <w:tcW w:w="2170" w:type="dxa"/>
            <w:vAlign w:val="center"/>
          </w:tcPr>
          <w:p w14:paraId="5AC05A5F">
            <w:pPr>
              <w:adjustRightInd/>
              <w:snapToGrid/>
              <w:jc w:val="center"/>
              <w:rPr>
                <w:rFonts w:ascii="宋体" w:hAnsi="宋体"/>
                <w:color w:val="auto"/>
                <w:szCs w:val="21"/>
                <w:highlight w:val="none"/>
              </w:rPr>
            </w:pPr>
            <w:r>
              <w:rPr>
                <w:rFonts w:hint="eastAsia" w:ascii="宋体" w:hAnsi="宋体"/>
                <w:color w:val="auto"/>
                <w:szCs w:val="21"/>
                <w:highlight w:val="none"/>
              </w:rPr>
              <w:t>项目合同签订时间</w:t>
            </w:r>
          </w:p>
        </w:tc>
        <w:tc>
          <w:tcPr>
            <w:tcW w:w="923" w:type="dxa"/>
            <w:vAlign w:val="center"/>
          </w:tcPr>
          <w:p w14:paraId="29DA09FF">
            <w:pPr>
              <w:adjustRightInd/>
              <w:snapToGrid/>
              <w:jc w:val="center"/>
              <w:rPr>
                <w:rFonts w:ascii="宋体" w:hAnsi="宋体"/>
                <w:color w:val="auto"/>
                <w:szCs w:val="21"/>
                <w:highlight w:val="none"/>
              </w:rPr>
            </w:pPr>
            <w:r>
              <w:rPr>
                <w:rFonts w:hint="eastAsia" w:ascii="宋体" w:hAnsi="宋体"/>
                <w:color w:val="auto"/>
                <w:szCs w:val="21"/>
                <w:highlight w:val="none"/>
              </w:rPr>
              <w:t>备注</w:t>
            </w:r>
          </w:p>
        </w:tc>
      </w:tr>
      <w:tr w14:paraId="0747F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30" w:type="dxa"/>
            <w:vAlign w:val="center"/>
          </w:tcPr>
          <w:p w14:paraId="161A73F8">
            <w:pPr>
              <w:adjustRightInd/>
              <w:snapToGrid/>
              <w:jc w:val="center"/>
              <w:rPr>
                <w:rFonts w:ascii="宋体" w:hAnsi="宋体"/>
                <w:color w:val="auto"/>
                <w:szCs w:val="21"/>
                <w:highlight w:val="none"/>
              </w:rPr>
            </w:pPr>
          </w:p>
        </w:tc>
        <w:tc>
          <w:tcPr>
            <w:tcW w:w="3646" w:type="dxa"/>
            <w:vAlign w:val="center"/>
          </w:tcPr>
          <w:p w14:paraId="7AB2D8E5">
            <w:pPr>
              <w:adjustRightInd/>
              <w:snapToGrid/>
              <w:jc w:val="center"/>
              <w:rPr>
                <w:rFonts w:ascii="宋体" w:hAnsi="宋体"/>
                <w:color w:val="auto"/>
                <w:szCs w:val="21"/>
                <w:highlight w:val="none"/>
              </w:rPr>
            </w:pPr>
          </w:p>
        </w:tc>
        <w:tc>
          <w:tcPr>
            <w:tcW w:w="1523" w:type="dxa"/>
            <w:vAlign w:val="center"/>
          </w:tcPr>
          <w:p w14:paraId="336DF3ED">
            <w:pPr>
              <w:adjustRightInd/>
              <w:snapToGrid/>
              <w:jc w:val="center"/>
              <w:rPr>
                <w:rFonts w:ascii="宋体" w:hAnsi="宋体"/>
                <w:color w:val="auto"/>
                <w:szCs w:val="21"/>
                <w:highlight w:val="none"/>
              </w:rPr>
            </w:pPr>
          </w:p>
        </w:tc>
        <w:tc>
          <w:tcPr>
            <w:tcW w:w="2170" w:type="dxa"/>
            <w:vAlign w:val="center"/>
          </w:tcPr>
          <w:p w14:paraId="2537CB69">
            <w:pPr>
              <w:adjustRightInd/>
              <w:snapToGrid/>
              <w:jc w:val="center"/>
              <w:rPr>
                <w:rFonts w:ascii="宋体" w:hAnsi="宋体"/>
                <w:color w:val="auto"/>
                <w:szCs w:val="21"/>
                <w:highlight w:val="none"/>
              </w:rPr>
            </w:pPr>
          </w:p>
        </w:tc>
        <w:tc>
          <w:tcPr>
            <w:tcW w:w="923" w:type="dxa"/>
            <w:vAlign w:val="center"/>
          </w:tcPr>
          <w:p w14:paraId="78AB815F">
            <w:pPr>
              <w:adjustRightInd/>
              <w:snapToGrid/>
              <w:jc w:val="center"/>
              <w:rPr>
                <w:rFonts w:ascii="宋体" w:hAnsi="宋体"/>
                <w:color w:val="auto"/>
                <w:szCs w:val="21"/>
                <w:highlight w:val="none"/>
              </w:rPr>
            </w:pPr>
          </w:p>
        </w:tc>
      </w:tr>
      <w:tr w14:paraId="3E025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30" w:type="dxa"/>
          </w:tcPr>
          <w:p w14:paraId="3F3AE44D">
            <w:pPr>
              <w:adjustRightInd/>
              <w:snapToGrid/>
              <w:rPr>
                <w:rFonts w:ascii="宋体" w:hAnsi="宋体"/>
                <w:color w:val="auto"/>
                <w:szCs w:val="21"/>
                <w:highlight w:val="none"/>
              </w:rPr>
            </w:pPr>
          </w:p>
        </w:tc>
        <w:tc>
          <w:tcPr>
            <w:tcW w:w="3646" w:type="dxa"/>
          </w:tcPr>
          <w:p w14:paraId="4CCABD43">
            <w:pPr>
              <w:adjustRightInd/>
              <w:snapToGrid/>
              <w:rPr>
                <w:rFonts w:ascii="宋体" w:hAnsi="宋体"/>
                <w:color w:val="auto"/>
                <w:szCs w:val="21"/>
                <w:highlight w:val="none"/>
              </w:rPr>
            </w:pPr>
          </w:p>
        </w:tc>
        <w:tc>
          <w:tcPr>
            <w:tcW w:w="1523" w:type="dxa"/>
          </w:tcPr>
          <w:p w14:paraId="154AEECE">
            <w:pPr>
              <w:adjustRightInd/>
              <w:snapToGrid/>
              <w:rPr>
                <w:rFonts w:ascii="宋体" w:hAnsi="宋体"/>
                <w:color w:val="auto"/>
                <w:szCs w:val="21"/>
                <w:highlight w:val="none"/>
              </w:rPr>
            </w:pPr>
          </w:p>
        </w:tc>
        <w:tc>
          <w:tcPr>
            <w:tcW w:w="2170" w:type="dxa"/>
          </w:tcPr>
          <w:p w14:paraId="357C9A52">
            <w:pPr>
              <w:adjustRightInd/>
              <w:snapToGrid/>
              <w:rPr>
                <w:rFonts w:ascii="宋体" w:hAnsi="宋体"/>
                <w:color w:val="auto"/>
                <w:szCs w:val="21"/>
                <w:highlight w:val="none"/>
              </w:rPr>
            </w:pPr>
          </w:p>
        </w:tc>
        <w:tc>
          <w:tcPr>
            <w:tcW w:w="923" w:type="dxa"/>
          </w:tcPr>
          <w:p w14:paraId="22412194">
            <w:pPr>
              <w:adjustRightInd/>
              <w:snapToGrid/>
              <w:rPr>
                <w:rFonts w:ascii="宋体" w:hAnsi="宋体"/>
                <w:color w:val="auto"/>
                <w:szCs w:val="21"/>
                <w:highlight w:val="none"/>
              </w:rPr>
            </w:pPr>
          </w:p>
        </w:tc>
      </w:tr>
      <w:tr w14:paraId="39C5F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30" w:type="dxa"/>
          </w:tcPr>
          <w:p w14:paraId="60FF3F99">
            <w:pPr>
              <w:adjustRightInd/>
              <w:snapToGrid/>
              <w:rPr>
                <w:rFonts w:ascii="宋体" w:hAnsi="宋体"/>
                <w:color w:val="auto"/>
                <w:szCs w:val="21"/>
                <w:highlight w:val="none"/>
              </w:rPr>
            </w:pPr>
          </w:p>
        </w:tc>
        <w:tc>
          <w:tcPr>
            <w:tcW w:w="3646" w:type="dxa"/>
          </w:tcPr>
          <w:p w14:paraId="5D31894F">
            <w:pPr>
              <w:adjustRightInd/>
              <w:snapToGrid/>
              <w:rPr>
                <w:rFonts w:ascii="宋体" w:hAnsi="宋体"/>
                <w:color w:val="auto"/>
                <w:szCs w:val="21"/>
                <w:highlight w:val="none"/>
              </w:rPr>
            </w:pPr>
          </w:p>
        </w:tc>
        <w:tc>
          <w:tcPr>
            <w:tcW w:w="1523" w:type="dxa"/>
          </w:tcPr>
          <w:p w14:paraId="7F6B1D24">
            <w:pPr>
              <w:adjustRightInd/>
              <w:snapToGrid/>
              <w:rPr>
                <w:rFonts w:ascii="宋体" w:hAnsi="宋体"/>
                <w:color w:val="auto"/>
                <w:szCs w:val="21"/>
                <w:highlight w:val="none"/>
              </w:rPr>
            </w:pPr>
          </w:p>
        </w:tc>
        <w:tc>
          <w:tcPr>
            <w:tcW w:w="2170" w:type="dxa"/>
          </w:tcPr>
          <w:p w14:paraId="47B097A8">
            <w:pPr>
              <w:adjustRightInd/>
              <w:snapToGrid/>
              <w:rPr>
                <w:rFonts w:ascii="宋体" w:hAnsi="宋体"/>
                <w:color w:val="auto"/>
                <w:szCs w:val="21"/>
                <w:highlight w:val="none"/>
              </w:rPr>
            </w:pPr>
          </w:p>
        </w:tc>
        <w:tc>
          <w:tcPr>
            <w:tcW w:w="923" w:type="dxa"/>
          </w:tcPr>
          <w:p w14:paraId="73ADA7C2">
            <w:pPr>
              <w:adjustRightInd/>
              <w:snapToGrid/>
              <w:rPr>
                <w:rFonts w:ascii="宋体" w:hAnsi="宋体"/>
                <w:color w:val="auto"/>
                <w:szCs w:val="21"/>
                <w:highlight w:val="none"/>
              </w:rPr>
            </w:pPr>
          </w:p>
        </w:tc>
      </w:tr>
      <w:tr w14:paraId="03BD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30" w:type="dxa"/>
          </w:tcPr>
          <w:p w14:paraId="27731CBC">
            <w:pPr>
              <w:adjustRightInd/>
              <w:snapToGrid/>
              <w:rPr>
                <w:rFonts w:ascii="宋体" w:hAnsi="宋体"/>
                <w:color w:val="auto"/>
                <w:szCs w:val="21"/>
                <w:highlight w:val="none"/>
              </w:rPr>
            </w:pPr>
          </w:p>
        </w:tc>
        <w:tc>
          <w:tcPr>
            <w:tcW w:w="3646" w:type="dxa"/>
          </w:tcPr>
          <w:p w14:paraId="21F8FF48">
            <w:pPr>
              <w:adjustRightInd/>
              <w:snapToGrid/>
              <w:rPr>
                <w:rFonts w:ascii="宋体" w:hAnsi="宋体"/>
                <w:color w:val="auto"/>
                <w:szCs w:val="21"/>
                <w:highlight w:val="none"/>
              </w:rPr>
            </w:pPr>
          </w:p>
        </w:tc>
        <w:tc>
          <w:tcPr>
            <w:tcW w:w="1523" w:type="dxa"/>
          </w:tcPr>
          <w:p w14:paraId="346E2B7F">
            <w:pPr>
              <w:adjustRightInd/>
              <w:snapToGrid/>
              <w:rPr>
                <w:rFonts w:ascii="宋体" w:hAnsi="宋体"/>
                <w:color w:val="auto"/>
                <w:szCs w:val="21"/>
                <w:highlight w:val="none"/>
              </w:rPr>
            </w:pPr>
          </w:p>
        </w:tc>
        <w:tc>
          <w:tcPr>
            <w:tcW w:w="2170" w:type="dxa"/>
          </w:tcPr>
          <w:p w14:paraId="76350B6E">
            <w:pPr>
              <w:adjustRightInd/>
              <w:snapToGrid/>
              <w:rPr>
                <w:rFonts w:ascii="宋体" w:hAnsi="宋体"/>
                <w:color w:val="auto"/>
                <w:szCs w:val="21"/>
                <w:highlight w:val="none"/>
              </w:rPr>
            </w:pPr>
          </w:p>
        </w:tc>
        <w:tc>
          <w:tcPr>
            <w:tcW w:w="923" w:type="dxa"/>
          </w:tcPr>
          <w:p w14:paraId="34575705">
            <w:pPr>
              <w:adjustRightInd/>
              <w:snapToGrid/>
              <w:rPr>
                <w:rFonts w:ascii="宋体" w:hAnsi="宋体"/>
                <w:color w:val="auto"/>
                <w:szCs w:val="21"/>
                <w:highlight w:val="none"/>
              </w:rPr>
            </w:pPr>
          </w:p>
        </w:tc>
      </w:tr>
      <w:tr w14:paraId="3BBC2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30" w:type="dxa"/>
          </w:tcPr>
          <w:p w14:paraId="0B324127">
            <w:pPr>
              <w:adjustRightInd/>
              <w:snapToGrid/>
              <w:rPr>
                <w:rFonts w:ascii="宋体" w:hAnsi="宋体"/>
                <w:color w:val="auto"/>
                <w:szCs w:val="21"/>
                <w:highlight w:val="none"/>
              </w:rPr>
            </w:pPr>
          </w:p>
        </w:tc>
        <w:tc>
          <w:tcPr>
            <w:tcW w:w="3646" w:type="dxa"/>
          </w:tcPr>
          <w:p w14:paraId="66EE0252">
            <w:pPr>
              <w:adjustRightInd/>
              <w:snapToGrid/>
              <w:rPr>
                <w:rFonts w:ascii="宋体" w:hAnsi="宋体"/>
                <w:color w:val="auto"/>
                <w:szCs w:val="21"/>
                <w:highlight w:val="none"/>
              </w:rPr>
            </w:pPr>
          </w:p>
        </w:tc>
        <w:tc>
          <w:tcPr>
            <w:tcW w:w="1523" w:type="dxa"/>
          </w:tcPr>
          <w:p w14:paraId="3AAA4C4A">
            <w:pPr>
              <w:adjustRightInd/>
              <w:snapToGrid/>
              <w:rPr>
                <w:rFonts w:ascii="宋体" w:hAnsi="宋体"/>
                <w:color w:val="auto"/>
                <w:szCs w:val="21"/>
                <w:highlight w:val="none"/>
              </w:rPr>
            </w:pPr>
          </w:p>
        </w:tc>
        <w:tc>
          <w:tcPr>
            <w:tcW w:w="2170" w:type="dxa"/>
          </w:tcPr>
          <w:p w14:paraId="16439393">
            <w:pPr>
              <w:adjustRightInd/>
              <w:snapToGrid/>
              <w:rPr>
                <w:rFonts w:ascii="宋体" w:hAnsi="宋体"/>
                <w:color w:val="auto"/>
                <w:szCs w:val="21"/>
                <w:highlight w:val="none"/>
              </w:rPr>
            </w:pPr>
          </w:p>
        </w:tc>
        <w:tc>
          <w:tcPr>
            <w:tcW w:w="923" w:type="dxa"/>
          </w:tcPr>
          <w:p w14:paraId="69BA4C74">
            <w:pPr>
              <w:adjustRightInd/>
              <w:snapToGrid/>
              <w:rPr>
                <w:rFonts w:ascii="宋体" w:hAnsi="宋体"/>
                <w:color w:val="auto"/>
                <w:szCs w:val="21"/>
                <w:highlight w:val="none"/>
              </w:rPr>
            </w:pPr>
          </w:p>
        </w:tc>
      </w:tr>
      <w:tr w14:paraId="77BF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30" w:type="dxa"/>
          </w:tcPr>
          <w:p w14:paraId="684F08F6">
            <w:pPr>
              <w:adjustRightInd/>
              <w:snapToGrid/>
              <w:rPr>
                <w:rFonts w:ascii="宋体" w:hAnsi="宋体"/>
                <w:color w:val="auto"/>
                <w:szCs w:val="21"/>
                <w:highlight w:val="none"/>
              </w:rPr>
            </w:pPr>
          </w:p>
        </w:tc>
        <w:tc>
          <w:tcPr>
            <w:tcW w:w="3646" w:type="dxa"/>
          </w:tcPr>
          <w:p w14:paraId="2235A2C7">
            <w:pPr>
              <w:adjustRightInd/>
              <w:snapToGrid/>
              <w:rPr>
                <w:rFonts w:ascii="宋体" w:hAnsi="宋体"/>
                <w:color w:val="auto"/>
                <w:szCs w:val="21"/>
                <w:highlight w:val="none"/>
              </w:rPr>
            </w:pPr>
          </w:p>
        </w:tc>
        <w:tc>
          <w:tcPr>
            <w:tcW w:w="1523" w:type="dxa"/>
          </w:tcPr>
          <w:p w14:paraId="6BBEB685">
            <w:pPr>
              <w:adjustRightInd/>
              <w:snapToGrid/>
              <w:rPr>
                <w:rFonts w:ascii="宋体" w:hAnsi="宋体"/>
                <w:color w:val="auto"/>
                <w:szCs w:val="21"/>
                <w:highlight w:val="none"/>
              </w:rPr>
            </w:pPr>
          </w:p>
        </w:tc>
        <w:tc>
          <w:tcPr>
            <w:tcW w:w="2170" w:type="dxa"/>
          </w:tcPr>
          <w:p w14:paraId="7431C70B">
            <w:pPr>
              <w:adjustRightInd/>
              <w:snapToGrid/>
              <w:rPr>
                <w:rFonts w:ascii="宋体" w:hAnsi="宋体"/>
                <w:color w:val="auto"/>
                <w:szCs w:val="21"/>
                <w:highlight w:val="none"/>
              </w:rPr>
            </w:pPr>
          </w:p>
        </w:tc>
        <w:tc>
          <w:tcPr>
            <w:tcW w:w="923" w:type="dxa"/>
          </w:tcPr>
          <w:p w14:paraId="044CF688">
            <w:pPr>
              <w:adjustRightInd/>
              <w:snapToGrid/>
              <w:rPr>
                <w:rFonts w:ascii="宋体" w:hAnsi="宋体"/>
                <w:color w:val="auto"/>
                <w:szCs w:val="21"/>
                <w:highlight w:val="none"/>
              </w:rPr>
            </w:pPr>
          </w:p>
        </w:tc>
      </w:tr>
    </w:tbl>
    <w:p w14:paraId="7B25F002">
      <w:pPr>
        <w:pStyle w:val="45"/>
        <w:rPr>
          <w:rFonts w:ascii="宋体" w:hAnsi="宋体"/>
          <w:color w:val="auto"/>
          <w:szCs w:val="21"/>
          <w:highlight w:val="none"/>
        </w:rPr>
      </w:pPr>
    </w:p>
    <w:p w14:paraId="47C165A5">
      <w:pPr>
        <w:pStyle w:val="45"/>
        <w:snapToGrid/>
        <w:rPr>
          <w:rFonts w:ascii="宋体" w:hAnsi="宋体"/>
          <w:color w:val="auto"/>
          <w:szCs w:val="21"/>
          <w:highlight w:val="none"/>
        </w:rPr>
      </w:pPr>
      <w:r>
        <w:rPr>
          <w:rFonts w:hint="eastAsia" w:ascii="宋体" w:hAnsi="宋体"/>
          <w:color w:val="auto"/>
          <w:szCs w:val="21"/>
          <w:highlight w:val="none"/>
        </w:rPr>
        <w:t>注：</w:t>
      </w:r>
    </w:p>
    <w:p w14:paraId="0A16A0CC">
      <w:pPr>
        <w:pStyle w:val="45"/>
        <w:numPr>
          <w:ilvl w:val="0"/>
          <w:numId w:val="10"/>
        </w:numPr>
        <w:snapToGrid/>
        <w:rPr>
          <w:rFonts w:ascii="宋体" w:hAnsi="宋体"/>
          <w:color w:val="auto"/>
          <w:szCs w:val="21"/>
          <w:highlight w:val="none"/>
        </w:rPr>
      </w:pPr>
      <w:r>
        <w:rPr>
          <w:rFonts w:hint="eastAsia" w:ascii="宋体" w:hAnsi="宋体"/>
          <w:color w:val="auto"/>
          <w:szCs w:val="21"/>
          <w:highlight w:val="none"/>
        </w:rPr>
        <w:t>该表格为参考格式，投标人可按实际情况自行制订。</w:t>
      </w:r>
    </w:p>
    <w:p w14:paraId="5D92748B">
      <w:pPr>
        <w:pStyle w:val="45"/>
        <w:numPr>
          <w:ilvl w:val="0"/>
          <w:numId w:val="10"/>
        </w:numPr>
        <w:snapToGrid/>
        <w:rPr>
          <w:rFonts w:ascii="宋体" w:hAnsi="宋体"/>
          <w:color w:val="auto"/>
          <w:szCs w:val="21"/>
          <w:highlight w:val="none"/>
        </w:rPr>
      </w:pPr>
      <w:r>
        <w:rPr>
          <w:rFonts w:hint="eastAsia" w:ascii="宋体" w:hAnsi="宋体"/>
          <w:color w:val="auto"/>
          <w:szCs w:val="21"/>
          <w:highlight w:val="none"/>
        </w:rPr>
        <w:t>业绩表所列出的材料应为真实准确的，并应提供相关证明材料复印件加盖公章。请勿提供虚假、过期材料，否则将依据相关规定严肃处理。</w:t>
      </w:r>
    </w:p>
    <w:p w14:paraId="7CC40293">
      <w:pPr>
        <w:rPr>
          <w:rFonts w:ascii="宋体" w:hAnsi="宋体"/>
          <w:color w:val="auto"/>
          <w:szCs w:val="21"/>
          <w:highlight w:val="none"/>
        </w:rPr>
      </w:pPr>
      <w:r>
        <w:rPr>
          <w:rFonts w:hint="eastAsia" w:ascii="宋体" w:hAnsi="宋体"/>
          <w:color w:val="auto"/>
          <w:szCs w:val="21"/>
          <w:highlight w:val="none"/>
        </w:rPr>
        <w:br w:type="page"/>
      </w:r>
    </w:p>
    <w:p w14:paraId="5D212143">
      <w:pPr>
        <w:pStyle w:val="8"/>
        <w:widowControl w:val="0"/>
        <w:overflowPunct w:val="0"/>
        <w:spacing w:line="240" w:lineRule="auto"/>
        <w:rPr>
          <w:color w:val="auto"/>
          <w:highlight w:val="none"/>
        </w:rPr>
      </w:pPr>
      <w:bookmarkStart w:id="240" w:name="_Toc4222"/>
      <w:bookmarkStart w:id="241" w:name="_Toc19382"/>
      <w:r>
        <w:rPr>
          <w:rFonts w:hint="eastAsia" w:ascii="宋体" w:hAnsi="宋体"/>
          <w:color w:val="auto"/>
          <w:sz w:val="21"/>
          <w:szCs w:val="21"/>
          <w:highlight w:val="none"/>
        </w:rPr>
        <w:t>附件1</w:t>
      </w:r>
      <w:r>
        <w:rPr>
          <w:rFonts w:hint="eastAsia" w:ascii="宋体" w:hAnsi="宋体"/>
          <w:color w:val="auto"/>
          <w:sz w:val="21"/>
          <w:szCs w:val="21"/>
          <w:highlight w:val="none"/>
          <w:lang w:val="en-US" w:eastAsia="zh-CN"/>
        </w:rPr>
        <w:t>4</w:t>
      </w:r>
      <w:r>
        <w:rPr>
          <w:rFonts w:hint="eastAsia" w:ascii="宋体" w:hAnsi="宋体"/>
          <w:color w:val="auto"/>
          <w:sz w:val="21"/>
          <w:szCs w:val="21"/>
          <w:highlight w:val="none"/>
        </w:rPr>
        <w:t>.联合体协议书</w:t>
      </w:r>
      <w:r>
        <w:rPr>
          <w:rFonts w:hint="eastAsia"/>
          <w:color w:val="auto"/>
          <w:highlight w:val="none"/>
        </w:rPr>
        <w:t>（如有）</w:t>
      </w:r>
      <w:bookmarkEnd w:id="240"/>
      <w:bookmarkEnd w:id="241"/>
    </w:p>
    <w:p w14:paraId="741EB64B">
      <w:pPr>
        <w:rPr>
          <w:color w:val="auto"/>
          <w:highlight w:val="none"/>
        </w:rPr>
      </w:pPr>
    </w:p>
    <w:p w14:paraId="0DFB42A0">
      <w:pPr>
        <w:jc w:val="center"/>
        <w:rPr>
          <w:rFonts w:hint="eastAsia" w:ascii="宋体" w:hAnsi="宋体" w:eastAsia="宋体" w:cs="宋体"/>
          <w:color w:val="auto"/>
          <w:highlight w:val="none"/>
        </w:rPr>
      </w:pPr>
      <w:r>
        <w:rPr>
          <w:rFonts w:hint="eastAsia" w:ascii="宋体" w:hAnsi="宋体" w:eastAsia="宋体" w:cs="宋体"/>
          <w:b/>
          <w:bCs/>
          <w:color w:val="auto"/>
          <w:highlight w:val="none"/>
        </w:rPr>
        <w:t>联合体共同投标协议书</w:t>
      </w:r>
    </w:p>
    <w:p w14:paraId="3231C254">
      <w:pPr>
        <w:jc w:val="center"/>
        <w:rPr>
          <w:rFonts w:hint="eastAsia" w:ascii="宋体" w:hAnsi="宋体" w:eastAsia="宋体" w:cs="宋体"/>
          <w:color w:val="auto"/>
          <w:highlight w:val="none"/>
        </w:rPr>
      </w:pPr>
    </w:p>
    <w:p w14:paraId="6F205D43">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立约方：（甲公司全称）</w:t>
      </w:r>
    </w:p>
    <w:p w14:paraId="4777804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（乙公司全称）</w:t>
      </w:r>
    </w:p>
    <w:p w14:paraId="693B864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（……公司全称）</w:t>
      </w:r>
    </w:p>
    <w:p w14:paraId="7B2C2126">
      <w:pPr>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（甲公司全称）、（乙公司全称）、（……公司全称）</w:t>
      </w:r>
      <w:r>
        <w:rPr>
          <w:rFonts w:hint="eastAsia" w:ascii="宋体" w:hAnsi="宋体" w:eastAsia="宋体" w:cs="宋体"/>
          <w:color w:val="auto"/>
          <w:szCs w:val="21"/>
          <w:highlight w:val="none"/>
        </w:rPr>
        <w:t>自愿组成联合体，以一个投标人的身份共同参加</w:t>
      </w:r>
      <w:r>
        <w:rPr>
          <w:rFonts w:hint="eastAsia" w:ascii="宋体" w:hAnsi="宋体" w:eastAsia="宋体" w:cs="宋体"/>
          <w:color w:val="auto"/>
          <w:szCs w:val="21"/>
          <w:highlight w:val="none"/>
          <w:u w:val="single"/>
        </w:rPr>
        <w:t>（xxxx项目） （项目编号：xxxx）</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eastAsia="zh-CN"/>
        </w:rPr>
        <w:t>采购</w:t>
      </w:r>
      <w:r>
        <w:rPr>
          <w:rFonts w:hint="eastAsia" w:ascii="宋体" w:hAnsi="宋体" w:eastAsia="宋体" w:cs="宋体"/>
          <w:color w:val="auto"/>
          <w:szCs w:val="21"/>
          <w:highlight w:val="none"/>
        </w:rPr>
        <w:t>活动。经各方充分协商一致，就项目的投标和合同实施阶段的有关事务协商一致订立协议如下：</w:t>
      </w:r>
    </w:p>
    <w:p w14:paraId="18564A5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一、联合体各方关系</w:t>
      </w:r>
    </w:p>
    <w:p w14:paraId="04779E12">
      <w:pPr>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1.（甲公司全称）、（乙公司全称）、（……公司全称）</w:t>
      </w:r>
      <w:r>
        <w:rPr>
          <w:rFonts w:hint="eastAsia" w:ascii="宋体" w:hAnsi="宋体" w:eastAsia="宋体" w:cs="宋体"/>
          <w:color w:val="auto"/>
          <w:szCs w:val="21"/>
          <w:highlight w:val="none"/>
        </w:rPr>
        <w:t>共同组成一个联合体，以一个投标人的身份共同参加本项目的投标。</w:t>
      </w:r>
      <w:r>
        <w:rPr>
          <w:rFonts w:hint="eastAsia" w:ascii="宋体" w:hAnsi="宋体" w:eastAsia="宋体" w:cs="宋体"/>
          <w:color w:val="auto"/>
          <w:szCs w:val="21"/>
          <w:highlight w:val="none"/>
          <w:u w:val="single"/>
        </w:rPr>
        <w:t>（甲公司全称）、（乙公司全称）、（……公司全称）</w:t>
      </w:r>
      <w:r>
        <w:rPr>
          <w:rFonts w:hint="eastAsia" w:ascii="宋体" w:hAnsi="宋体" w:eastAsia="宋体" w:cs="宋体"/>
          <w:color w:val="auto"/>
          <w:szCs w:val="21"/>
          <w:highlight w:val="none"/>
        </w:rPr>
        <w:t>作为联合体成员，若中标，联合体各方共同与</w:t>
      </w:r>
      <w:r>
        <w:rPr>
          <w:rFonts w:hint="eastAsia" w:ascii="宋体" w:hAnsi="宋体" w:eastAsia="宋体" w:cs="宋体"/>
          <w:color w:val="auto"/>
          <w:szCs w:val="21"/>
          <w:highlight w:val="none"/>
          <w:u w:val="single"/>
        </w:rPr>
        <w:t>（采购人）</w:t>
      </w:r>
      <w:r>
        <w:rPr>
          <w:rFonts w:hint="eastAsia" w:ascii="宋体" w:hAnsi="宋体" w:eastAsia="宋体" w:cs="宋体"/>
          <w:color w:val="auto"/>
          <w:szCs w:val="21"/>
          <w:highlight w:val="none"/>
        </w:rPr>
        <w:t>签订合同。</w:t>
      </w:r>
    </w:p>
    <w:p w14:paraId="39986F03">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2.本次投标中，以</w:t>
      </w:r>
      <w:r>
        <w:rPr>
          <w:rFonts w:hint="eastAsia" w:ascii="宋体" w:hAnsi="宋体" w:eastAsia="宋体" w:cs="宋体"/>
          <w:color w:val="auto"/>
          <w:szCs w:val="21"/>
          <w:highlight w:val="none"/>
          <w:u w:val="single"/>
        </w:rPr>
        <w:t>（公司全称）</w:t>
      </w:r>
      <w:r>
        <w:rPr>
          <w:rFonts w:hint="eastAsia" w:ascii="宋体" w:hAnsi="宋体" w:eastAsia="宋体" w:cs="宋体"/>
          <w:color w:val="auto"/>
          <w:szCs w:val="21"/>
          <w:highlight w:val="none"/>
        </w:rPr>
        <w:t>为联合体牵头人。</w:t>
      </w:r>
    </w:p>
    <w:p w14:paraId="7EBE918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二、联合体内部有关事项约定如下：</w:t>
      </w:r>
    </w:p>
    <w:p w14:paraId="4A62C62E">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1.联合体牵头人合法代表联合体各成员，负责本项目投标文件编制和投标工作，并代表联合体成员递交和接受相关的资料、信息及指示，并处理与之有关的一切事务，负责合同实施阶段的主办、组织和协调工作。</w:t>
      </w:r>
    </w:p>
    <w:p w14:paraId="54A04C8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2.联合体将严格按照文件的各项要求，递交投标文件，切实执行一切合同文件，共同承担合同规定的一切义务和责任，同时按照内部职责的划分，承担自身所负的责任和风险，在法律上承担连带责任。</w:t>
      </w:r>
    </w:p>
    <w:p w14:paraId="293E9CF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3.如中标，联合体各方共同与（采购人）签订合同书，并就中标项目向采购人负有连带的和各自的法律责任；</w:t>
      </w:r>
    </w:p>
    <w:p w14:paraId="6978356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4.联合体各成员单位内部的职责分工如下：</w:t>
      </w:r>
    </w:p>
    <w:p w14:paraId="2CB5E56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p w14:paraId="1660B983">
      <w:pPr>
        <w:rPr>
          <w:rFonts w:hint="eastAsia" w:ascii="宋体" w:hAnsi="宋体" w:eastAsia="宋体" w:cs="宋体"/>
          <w:color w:val="auto"/>
          <w:highlight w:val="none"/>
        </w:rPr>
      </w:pPr>
      <w:r>
        <w:rPr>
          <w:rFonts w:hint="eastAsia" w:ascii="宋体" w:hAnsi="宋体" w:eastAsia="宋体" w:cs="宋体"/>
          <w:color w:val="auto"/>
          <w:szCs w:val="21"/>
          <w:highlight w:val="none"/>
        </w:rPr>
        <w:t>（2）</w:t>
      </w:r>
    </w:p>
    <w:p w14:paraId="6240D39E">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联合体各方不得再以自己名义参与本项目投标，联合体各方不能作为其它联合体或单独投标单位的项目组成员参加本项目投标。因发生上述问题导致联合体成为无效投标，联合体的其他成员可追究其违约责任和经济损失。</w:t>
      </w:r>
    </w:p>
    <w:p w14:paraId="38C6632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四、联合体如因违约过失责任而导致采购人经济损失或被索赔时，本联合体任何一方均同意无条件优先清偿采购人的一切债务和经济赔偿。</w:t>
      </w:r>
    </w:p>
    <w:p w14:paraId="453B5283">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五、联合体中标后，本联合体协议是合同的附件，对联合体各成员单位有合同约束力。</w:t>
      </w:r>
    </w:p>
    <w:p w14:paraId="035C580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六、本协议在自签署之日起生效，投标有效期内有效，如获中标资格，本协议有效期延续至合同履行完毕之日。</w:t>
      </w:r>
    </w:p>
    <w:p w14:paraId="6D5150B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七、本协议书一式____份，联合体成员和采购人各执一份。 </w:t>
      </w:r>
    </w:p>
    <w:p w14:paraId="1A6B0BD2">
      <w:pPr>
        <w:rPr>
          <w:rFonts w:hint="eastAsia" w:ascii="宋体" w:hAnsi="宋体" w:eastAsia="宋体" w:cs="宋体"/>
          <w:color w:val="auto"/>
          <w:szCs w:val="21"/>
          <w:highlight w:val="none"/>
        </w:rPr>
      </w:pPr>
    </w:p>
    <w:p w14:paraId="068FCB6F">
      <w:pPr>
        <w:pStyle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注：本协议书由委托人签字的，应附法定代表人签字的授权委托书。</w:t>
      </w:r>
    </w:p>
    <w:p w14:paraId="4AC761D9">
      <w:pPr>
        <w:pStyle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牵头人名称：_______________________（盖单位公章）</w:t>
      </w:r>
    </w:p>
    <w:p w14:paraId="5329E938">
      <w:pPr>
        <w:pStyle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法定代表人或其委托代理人：_____________（签字）</w:t>
      </w:r>
    </w:p>
    <w:p w14:paraId="30D92D58">
      <w:pPr>
        <w:pStyle w:val="2"/>
        <w:rPr>
          <w:rFonts w:hint="eastAsia" w:ascii="宋体" w:hAnsi="宋体" w:eastAsia="宋体" w:cs="宋体"/>
          <w:color w:val="auto"/>
          <w:sz w:val="21"/>
          <w:szCs w:val="21"/>
          <w:highlight w:val="none"/>
        </w:rPr>
      </w:pPr>
    </w:p>
    <w:p w14:paraId="129DAFEA">
      <w:pPr>
        <w:pStyle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成员一名称：_______________________（盖单位公章）</w:t>
      </w:r>
    </w:p>
    <w:p w14:paraId="5254B666">
      <w:pPr>
        <w:pStyle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法定代表人或其委托代理人：_____________（签字）</w:t>
      </w:r>
    </w:p>
    <w:p w14:paraId="0B223528">
      <w:pPr>
        <w:pStyle w:val="2"/>
        <w:rPr>
          <w:rFonts w:hint="eastAsia" w:ascii="宋体" w:hAnsi="宋体" w:eastAsia="宋体" w:cs="宋体"/>
          <w:color w:val="auto"/>
          <w:sz w:val="21"/>
          <w:szCs w:val="21"/>
          <w:highlight w:val="none"/>
        </w:rPr>
      </w:pPr>
    </w:p>
    <w:p w14:paraId="0CE0A330">
      <w:pPr>
        <w:pStyle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成员二名称：_______________________（盖单位公章）</w:t>
      </w:r>
    </w:p>
    <w:p w14:paraId="2ECD3023">
      <w:pPr>
        <w:pStyle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法定代表人或其委托代理人：_____________（签字）</w:t>
      </w:r>
    </w:p>
    <w:p w14:paraId="1D12F470">
      <w:pPr>
        <w:pStyle w:val="2"/>
        <w:ind w:firstLine="210" w:firstLineChars="1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6406EE38">
      <w:pPr>
        <w:rPr>
          <w:color w:val="auto"/>
          <w:highlight w:val="none"/>
        </w:rPr>
      </w:pPr>
      <w:r>
        <w:rPr>
          <w:rFonts w:hint="eastAsia" w:ascii="宋体" w:hAnsi="宋体" w:eastAsia="宋体" w:cs="宋体"/>
          <w:color w:val="auto"/>
          <w:sz w:val="21"/>
          <w:szCs w:val="21"/>
          <w:highlight w:val="none"/>
        </w:rPr>
        <w:t xml:space="preserve">        年     月     日</w:t>
      </w:r>
      <w:r>
        <w:rPr>
          <w:color w:val="auto"/>
          <w:highlight w:val="none"/>
        </w:rPr>
        <w:br w:type="page"/>
      </w:r>
    </w:p>
    <w:p w14:paraId="5FE14E2D">
      <w:pPr>
        <w:pStyle w:val="3"/>
      </w:pPr>
    </w:p>
    <w:p w14:paraId="47677290">
      <w:pPr>
        <w:pStyle w:val="6"/>
        <w:spacing w:before="0" w:after="0" w:line="360" w:lineRule="auto"/>
        <w:jc w:val="center"/>
        <w:rPr>
          <w:color w:val="auto"/>
          <w:sz w:val="72"/>
          <w:szCs w:val="72"/>
          <w:highlight w:val="none"/>
        </w:rPr>
      </w:pPr>
      <w:bookmarkStart w:id="242" w:name="_Toc6195"/>
      <w:bookmarkStart w:id="243" w:name="_Toc17454"/>
      <w:r>
        <w:rPr>
          <w:rFonts w:hint="eastAsia"/>
          <w:color w:val="auto"/>
          <w:sz w:val="72"/>
          <w:szCs w:val="72"/>
          <w:highlight w:val="none"/>
        </w:rPr>
        <w:t>技术文件</w:t>
      </w:r>
      <w:bookmarkEnd w:id="242"/>
      <w:bookmarkEnd w:id="243"/>
    </w:p>
    <w:p w14:paraId="5D4A2E16">
      <w:pPr>
        <w:jc w:val="center"/>
        <w:rPr>
          <w:rFonts w:ascii="黑体" w:eastAsia="黑体"/>
          <w:color w:val="auto"/>
          <w:sz w:val="72"/>
          <w:szCs w:val="72"/>
          <w:highlight w:val="none"/>
        </w:rPr>
      </w:pPr>
      <w:r>
        <w:rPr>
          <w:rFonts w:hint="eastAsia" w:ascii="黑体" w:eastAsia="黑体"/>
          <w:color w:val="auto"/>
          <w:sz w:val="72"/>
          <w:szCs w:val="72"/>
          <w:highlight w:val="none"/>
        </w:rPr>
        <w:t>（单独装订成册）</w:t>
      </w:r>
    </w:p>
    <w:p w14:paraId="6D3B384A">
      <w:pPr>
        <w:rPr>
          <w:color w:val="auto"/>
          <w:highlight w:val="none"/>
        </w:rPr>
      </w:pPr>
    </w:p>
    <w:p w14:paraId="34FF2FEE">
      <w:pPr>
        <w:pStyle w:val="2"/>
        <w:ind w:left="0"/>
        <w:rPr>
          <w:color w:val="auto"/>
          <w:highlight w:val="none"/>
        </w:rPr>
      </w:pPr>
    </w:p>
    <w:p w14:paraId="0667DC4E">
      <w:pPr>
        <w:pStyle w:val="30"/>
        <w:keepNext w:val="0"/>
        <w:keepLines w:val="0"/>
        <w:pageBreakBefore w:val="0"/>
        <w:widowControl/>
        <w:kinsoku/>
        <w:wordWrap/>
        <w:overflowPunct/>
        <w:topLinePunct w:val="0"/>
        <w:autoSpaceDE/>
        <w:autoSpaceDN/>
        <w:bidi w:val="0"/>
        <w:adjustRightInd w:val="0"/>
        <w:snapToGrid w:val="0"/>
        <w:spacing w:before="0" w:after="0" w:afterAutospacing="0" w:line="360" w:lineRule="auto"/>
        <w:ind w:left="0" w:firstLine="0" w:firstLineChars="0"/>
        <w:textAlignment w:val="auto"/>
        <w:rPr>
          <w:color w:val="auto"/>
          <w:highlight w:val="none"/>
        </w:rPr>
      </w:pPr>
    </w:p>
    <w:p w14:paraId="09DF83B9">
      <w:pPr>
        <w:keepNext w:val="0"/>
        <w:keepLines w:val="0"/>
        <w:pageBreakBefore w:val="0"/>
        <w:widowControl/>
        <w:kinsoku/>
        <w:wordWrap/>
        <w:overflowPunct/>
        <w:topLinePunct w:val="0"/>
        <w:autoSpaceDE/>
        <w:autoSpaceDN/>
        <w:bidi w:val="0"/>
        <w:adjustRightInd/>
        <w:snapToGrid/>
        <w:spacing w:afterAutospacing="0" w:line="360" w:lineRule="auto"/>
        <w:ind w:left="0"/>
        <w:textAlignment w:val="auto"/>
        <w:rPr>
          <w:rFonts w:hint="default" w:ascii="Tahoma" w:hAnsi="Tahoma" w:eastAsia="宋体" w:cstheme="minorBidi"/>
          <w:b/>
          <w:bCs/>
          <w:spacing w:val="0"/>
          <w:kern w:val="0"/>
          <w:sz w:val="32"/>
          <w:szCs w:val="32"/>
        </w:rPr>
      </w:pPr>
      <w:r>
        <w:rPr>
          <w:rFonts w:hint="default" w:ascii="Tahoma" w:hAnsi="Tahoma" w:eastAsia="宋体" w:cstheme="minorBidi"/>
          <w:b/>
          <w:bCs/>
          <w:spacing w:val="53"/>
          <w:kern w:val="0"/>
          <w:sz w:val="32"/>
          <w:szCs w:val="32"/>
          <w:fitText w:val="1600" w:id="151875478"/>
        </w:rPr>
        <w:t>项目名</w:t>
      </w:r>
      <w:r>
        <w:rPr>
          <w:rFonts w:hint="default" w:ascii="Tahoma" w:hAnsi="Tahoma" w:eastAsia="宋体" w:cstheme="minorBidi"/>
          <w:b/>
          <w:bCs/>
          <w:spacing w:val="1"/>
          <w:kern w:val="0"/>
          <w:sz w:val="32"/>
          <w:szCs w:val="32"/>
          <w:fitText w:val="1600" w:id="151875478"/>
        </w:rPr>
        <w:t>称</w:t>
      </w:r>
      <w:r>
        <w:rPr>
          <w:rFonts w:hint="default" w:ascii="Tahoma" w:hAnsi="Tahoma" w:eastAsia="宋体" w:cstheme="minorBidi"/>
          <w:b/>
          <w:bCs/>
          <w:spacing w:val="0"/>
          <w:kern w:val="0"/>
          <w:sz w:val="32"/>
          <w:szCs w:val="32"/>
        </w:rPr>
        <w:t>：</w:t>
      </w:r>
    </w:p>
    <w:p w14:paraId="7E0BECDE">
      <w:pPr>
        <w:keepNext w:val="0"/>
        <w:keepLines w:val="0"/>
        <w:pageBreakBefore w:val="0"/>
        <w:widowControl/>
        <w:kinsoku/>
        <w:wordWrap/>
        <w:overflowPunct/>
        <w:topLinePunct w:val="0"/>
        <w:autoSpaceDE/>
        <w:autoSpaceDN/>
        <w:bidi w:val="0"/>
        <w:adjustRightInd/>
        <w:snapToGrid/>
        <w:spacing w:afterAutospacing="0" w:line="360" w:lineRule="auto"/>
        <w:ind w:left="0"/>
        <w:textAlignment w:val="auto"/>
        <w:rPr>
          <w:rFonts w:hint="default" w:ascii="Tahoma" w:hAnsi="Tahoma" w:eastAsia="宋体" w:cstheme="minorBidi"/>
          <w:b/>
          <w:bCs/>
          <w:spacing w:val="0"/>
          <w:kern w:val="0"/>
          <w:sz w:val="32"/>
          <w:szCs w:val="32"/>
        </w:rPr>
      </w:pPr>
      <w:r>
        <w:rPr>
          <w:rFonts w:hint="default" w:ascii="Tahoma" w:hAnsi="Tahoma" w:eastAsia="宋体" w:cstheme="minorBidi"/>
          <w:b/>
          <w:bCs/>
          <w:spacing w:val="53"/>
          <w:kern w:val="0"/>
          <w:sz w:val="32"/>
          <w:szCs w:val="32"/>
          <w:fitText w:val="1600" w:id="2136999190"/>
        </w:rPr>
        <w:t>项目编</w:t>
      </w:r>
      <w:r>
        <w:rPr>
          <w:rFonts w:hint="default" w:ascii="Tahoma" w:hAnsi="Tahoma" w:eastAsia="宋体" w:cstheme="minorBidi"/>
          <w:b/>
          <w:bCs/>
          <w:spacing w:val="1"/>
          <w:kern w:val="0"/>
          <w:sz w:val="32"/>
          <w:szCs w:val="32"/>
          <w:fitText w:val="1600" w:id="2136999190"/>
        </w:rPr>
        <w:t>号</w:t>
      </w:r>
      <w:r>
        <w:rPr>
          <w:rFonts w:hint="default" w:ascii="Tahoma" w:hAnsi="Tahoma" w:eastAsia="宋体" w:cstheme="minorBidi"/>
          <w:b/>
          <w:bCs/>
          <w:spacing w:val="0"/>
          <w:kern w:val="0"/>
          <w:sz w:val="32"/>
          <w:szCs w:val="32"/>
        </w:rPr>
        <w:t>：</w:t>
      </w:r>
    </w:p>
    <w:p w14:paraId="71E568AB">
      <w:pPr>
        <w:keepNext w:val="0"/>
        <w:keepLines w:val="0"/>
        <w:pageBreakBefore w:val="0"/>
        <w:widowControl/>
        <w:kinsoku/>
        <w:wordWrap/>
        <w:overflowPunct/>
        <w:topLinePunct w:val="0"/>
        <w:autoSpaceDE/>
        <w:autoSpaceDN/>
        <w:bidi w:val="0"/>
        <w:adjustRightInd/>
        <w:snapToGrid/>
        <w:spacing w:afterAutospacing="0" w:line="360" w:lineRule="auto"/>
        <w:ind w:left="0"/>
        <w:textAlignment w:val="auto"/>
        <w:rPr>
          <w:rFonts w:hint="default" w:ascii="Tahoma" w:hAnsi="Tahoma" w:eastAsia="宋体" w:cstheme="minorBidi"/>
          <w:b/>
          <w:bCs/>
          <w:spacing w:val="0"/>
          <w:kern w:val="0"/>
          <w:sz w:val="32"/>
          <w:szCs w:val="32"/>
        </w:rPr>
      </w:pPr>
      <w:r>
        <w:rPr>
          <w:rFonts w:hint="default" w:ascii="Tahoma" w:hAnsi="Tahoma" w:eastAsia="宋体" w:cstheme="minorBidi"/>
          <w:b/>
          <w:bCs/>
          <w:spacing w:val="0"/>
          <w:w w:val="100"/>
          <w:kern w:val="0"/>
          <w:sz w:val="32"/>
          <w:szCs w:val="32"/>
        </w:rPr>
        <w:t>包组号（如有）：</w:t>
      </w:r>
    </w:p>
    <w:p w14:paraId="7DF2FEBA">
      <w:pPr>
        <w:keepNext w:val="0"/>
        <w:keepLines w:val="0"/>
        <w:pageBreakBefore w:val="0"/>
        <w:widowControl/>
        <w:kinsoku/>
        <w:wordWrap/>
        <w:overflowPunct/>
        <w:topLinePunct w:val="0"/>
        <w:autoSpaceDE/>
        <w:autoSpaceDN/>
        <w:bidi w:val="0"/>
        <w:adjustRightInd/>
        <w:snapToGrid/>
        <w:spacing w:afterAutospacing="0" w:line="360" w:lineRule="auto"/>
        <w:ind w:left="0"/>
        <w:textAlignment w:val="auto"/>
        <w:rPr>
          <w:rFonts w:hint="default" w:ascii="Tahoma" w:hAnsi="Tahoma" w:eastAsia="宋体" w:cstheme="minorBidi"/>
          <w:b/>
          <w:bCs/>
          <w:spacing w:val="0"/>
          <w:kern w:val="0"/>
          <w:sz w:val="32"/>
          <w:szCs w:val="32"/>
        </w:rPr>
      </w:pPr>
      <w:r>
        <w:rPr>
          <w:rFonts w:hint="default" w:ascii="Tahoma" w:hAnsi="Tahoma" w:eastAsia="宋体" w:cstheme="minorBidi"/>
          <w:b/>
          <w:bCs/>
          <w:spacing w:val="0"/>
          <w:w w:val="100"/>
          <w:kern w:val="0"/>
          <w:sz w:val="32"/>
          <w:szCs w:val="32"/>
        </w:rPr>
        <w:t>投标人名称：</w:t>
      </w:r>
    </w:p>
    <w:p w14:paraId="72F8D226">
      <w:pPr>
        <w:keepNext w:val="0"/>
        <w:keepLines w:val="0"/>
        <w:pageBreakBefore w:val="0"/>
        <w:widowControl/>
        <w:kinsoku/>
        <w:wordWrap/>
        <w:overflowPunct/>
        <w:topLinePunct w:val="0"/>
        <w:autoSpaceDE/>
        <w:autoSpaceDN/>
        <w:bidi w:val="0"/>
        <w:adjustRightInd/>
        <w:snapToGrid/>
        <w:spacing w:afterAutospacing="0" w:line="360" w:lineRule="auto"/>
        <w:ind w:left="0"/>
        <w:textAlignment w:val="auto"/>
        <w:rPr>
          <w:rFonts w:hint="default" w:ascii="Tahoma" w:hAnsi="Tahoma" w:eastAsia="宋体" w:cstheme="minorBidi"/>
          <w:b/>
          <w:bCs/>
          <w:spacing w:val="0"/>
          <w:kern w:val="0"/>
          <w:sz w:val="32"/>
          <w:szCs w:val="32"/>
        </w:rPr>
      </w:pPr>
      <w:r>
        <w:rPr>
          <w:rFonts w:hint="default" w:ascii="Tahoma" w:hAnsi="Tahoma" w:eastAsia="宋体" w:cstheme="minorBidi"/>
          <w:b/>
          <w:bCs/>
          <w:spacing w:val="32"/>
          <w:kern w:val="0"/>
          <w:sz w:val="32"/>
          <w:szCs w:val="32"/>
          <w:fitText w:val="1600" w:id="1301360193"/>
        </w:rPr>
        <w:t>日</w:t>
      </w:r>
      <w:r>
        <w:rPr>
          <w:rFonts w:hint="eastAsia" w:eastAsia="宋体" w:cstheme="minorBidi"/>
          <w:b/>
          <w:bCs/>
          <w:spacing w:val="32"/>
          <w:kern w:val="0"/>
          <w:sz w:val="32"/>
          <w:szCs w:val="32"/>
          <w:fitText w:val="1600" w:id="1301360193"/>
          <w:lang w:val="en-US" w:eastAsia="zh-CN"/>
        </w:rPr>
        <w:t xml:space="preserve">   </w:t>
      </w:r>
      <w:r>
        <w:rPr>
          <w:rFonts w:hint="default" w:ascii="Tahoma" w:hAnsi="Tahoma" w:eastAsia="宋体" w:cstheme="minorBidi"/>
          <w:b/>
          <w:bCs/>
          <w:spacing w:val="32"/>
          <w:kern w:val="0"/>
          <w:sz w:val="32"/>
          <w:szCs w:val="32"/>
          <w:fitText w:val="1600" w:id="1301360193"/>
        </w:rPr>
        <w:t xml:space="preserve"> </w:t>
      </w:r>
      <w:r>
        <w:rPr>
          <w:rFonts w:hint="default" w:ascii="Tahoma" w:hAnsi="Tahoma" w:eastAsia="宋体" w:cstheme="minorBidi"/>
          <w:b/>
          <w:bCs/>
          <w:spacing w:val="0"/>
          <w:kern w:val="0"/>
          <w:sz w:val="32"/>
          <w:szCs w:val="32"/>
          <w:fitText w:val="1600" w:id="1301360193"/>
        </w:rPr>
        <w:t>期</w:t>
      </w:r>
      <w:r>
        <w:rPr>
          <w:rFonts w:hint="default" w:ascii="Tahoma" w:hAnsi="Tahoma" w:eastAsia="宋体" w:cstheme="minorBidi"/>
          <w:b/>
          <w:bCs/>
          <w:spacing w:val="0"/>
          <w:kern w:val="0"/>
          <w:sz w:val="32"/>
          <w:szCs w:val="32"/>
        </w:rPr>
        <w:t>：</w:t>
      </w:r>
    </w:p>
    <w:p w14:paraId="0ED8C899">
      <w:pPr>
        <w:rPr>
          <w:rFonts w:ascii="宋体" w:hAnsi="宋体"/>
          <w:color w:val="auto"/>
          <w:spacing w:val="1390"/>
          <w:kern w:val="0"/>
          <w:szCs w:val="21"/>
          <w:highlight w:val="none"/>
          <w:fitText w:val="1600" w:id="27"/>
        </w:rPr>
      </w:pPr>
      <w:r>
        <w:rPr>
          <w:rFonts w:hint="eastAsia" w:ascii="宋体" w:hAnsi="宋体"/>
          <w:color w:val="auto"/>
          <w:szCs w:val="21"/>
          <w:highlight w:val="none"/>
        </w:rPr>
        <w:br w:type="page"/>
      </w:r>
    </w:p>
    <w:p w14:paraId="6457CBF6">
      <w:pPr>
        <w:pStyle w:val="8"/>
        <w:widowControl w:val="0"/>
        <w:overflowPunct w:val="0"/>
        <w:spacing w:line="240" w:lineRule="auto"/>
        <w:rPr>
          <w:rFonts w:hint="eastAsia" w:ascii="宋体" w:hAnsi="宋体"/>
          <w:color w:val="auto"/>
          <w:sz w:val="21"/>
          <w:szCs w:val="21"/>
          <w:highlight w:val="none"/>
        </w:rPr>
      </w:pPr>
      <w:bookmarkStart w:id="244" w:name="_Toc3286"/>
      <w:bookmarkStart w:id="245" w:name="_Toc3704"/>
      <w:r>
        <w:rPr>
          <w:rFonts w:hint="eastAsia" w:ascii="宋体" w:hAnsi="宋体"/>
          <w:color w:val="auto"/>
          <w:sz w:val="21"/>
          <w:szCs w:val="21"/>
          <w:highlight w:val="none"/>
        </w:rPr>
        <w:t>附件1</w:t>
      </w:r>
      <w:r>
        <w:rPr>
          <w:rFonts w:hint="eastAsia" w:ascii="宋体" w:hAnsi="宋体"/>
          <w:color w:val="auto"/>
          <w:sz w:val="21"/>
          <w:szCs w:val="21"/>
          <w:highlight w:val="none"/>
          <w:lang w:val="en-US" w:eastAsia="zh-CN"/>
        </w:rPr>
        <w:t>5</w:t>
      </w:r>
      <w:r>
        <w:rPr>
          <w:rFonts w:hint="eastAsia" w:ascii="宋体" w:hAnsi="宋体"/>
          <w:color w:val="auto"/>
          <w:sz w:val="21"/>
          <w:szCs w:val="21"/>
          <w:highlight w:val="none"/>
        </w:rPr>
        <w:t>. 技术规格偏离表格式</w:t>
      </w:r>
      <w:bookmarkEnd w:id="244"/>
      <w:bookmarkEnd w:id="245"/>
    </w:p>
    <w:p w14:paraId="0C78FC57">
      <w:pPr>
        <w:jc w:val="center"/>
        <w:rPr>
          <w:rFonts w:ascii="黑体" w:eastAsia="黑体"/>
          <w:color w:val="auto"/>
          <w:sz w:val="28"/>
          <w:szCs w:val="28"/>
          <w:highlight w:val="none"/>
        </w:rPr>
      </w:pPr>
    </w:p>
    <w:p w14:paraId="5E38D0F7">
      <w:pPr>
        <w:jc w:val="center"/>
        <w:rPr>
          <w:rFonts w:ascii="黑体" w:eastAsia="黑体"/>
          <w:color w:val="auto"/>
          <w:sz w:val="28"/>
          <w:szCs w:val="28"/>
          <w:highlight w:val="none"/>
        </w:rPr>
      </w:pPr>
      <w:r>
        <w:rPr>
          <w:rFonts w:hint="eastAsia" w:ascii="黑体" w:eastAsia="黑体"/>
          <w:color w:val="auto"/>
          <w:sz w:val="28"/>
          <w:szCs w:val="28"/>
          <w:highlight w:val="none"/>
        </w:rPr>
        <w:t>技术规格偏离表</w:t>
      </w:r>
    </w:p>
    <w:tbl>
      <w:tblPr>
        <w:tblStyle w:val="32"/>
        <w:tblW w:w="92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2793"/>
        <w:gridCol w:w="1898"/>
        <w:gridCol w:w="1765"/>
        <w:gridCol w:w="1177"/>
        <w:gridCol w:w="796"/>
      </w:tblGrid>
      <w:tr w14:paraId="7086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810" w:type="dxa"/>
            <w:vAlign w:val="center"/>
          </w:tcPr>
          <w:p w14:paraId="198B6111">
            <w:pPr>
              <w:snapToGrid/>
              <w:spacing w:line="240" w:lineRule="auto"/>
              <w:jc w:val="center"/>
              <w:rPr>
                <w:rFonts w:ascii="宋体" w:hAnsi="宋体"/>
                <w:color w:val="auto"/>
                <w:szCs w:val="21"/>
                <w:highlight w:val="none"/>
              </w:rPr>
            </w:pPr>
            <w:r>
              <w:rPr>
                <w:rFonts w:hint="eastAsia" w:ascii="宋体" w:hAnsi="宋体"/>
                <w:color w:val="auto"/>
                <w:szCs w:val="21"/>
                <w:highlight w:val="none"/>
              </w:rPr>
              <w:t>序号</w:t>
            </w:r>
          </w:p>
        </w:tc>
        <w:tc>
          <w:tcPr>
            <w:tcW w:w="2793" w:type="dxa"/>
            <w:vAlign w:val="center"/>
          </w:tcPr>
          <w:p w14:paraId="122F4D8D">
            <w:pPr>
              <w:snapToGrid/>
              <w:spacing w:line="240" w:lineRule="auto"/>
              <w:jc w:val="center"/>
              <w:rPr>
                <w:rFonts w:ascii="宋体" w:hAnsi="宋体"/>
                <w:color w:val="auto"/>
                <w:szCs w:val="21"/>
                <w:highlight w:val="none"/>
              </w:rPr>
            </w:pPr>
            <w:r>
              <w:rPr>
                <w:rFonts w:hint="eastAsia" w:ascii="宋体" w:hAnsi="宋体"/>
                <w:color w:val="auto"/>
                <w:szCs w:val="21"/>
                <w:highlight w:val="none"/>
              </w:rPr>
              <w:t>服务项目名称</w:t>
            </w:r>
          </w:p>
        </w:tc>
        <w:tc>
          <w:tcPr>
            <w:tcW w:w="1898" w:type="dxa"/>
            <w:vAlign w:val="center"/>
          </w:tcPr>
          <w:p w14:paraId="3E1FFF85">
            <w:pPr>
              <w:snapToGrid/>
              <w:spacing w:line="240" w:lineRule="auto"/>
              <w:jc w:val="center"/>
              <w:rPr>
                <w:rFonts w:ascii="宋体" w:hAnsi="宋体"/>
                <w:color w:val="auto"/>
                <w:szCs w:val="21"/>
                <w:highlight w:val="none"/>
              </w:rPr>
            </w:pPr>
            <w:r>
              <w:rPr>
                <w:rFonts w:hint="eastAsia" w:ascii="宋体" w:hAnsi="宋体"/>
                <w:color w:val="auto"/>
                <w:szCs w:val="21"/>
                <w:highlight w:val="none"/>
              </w:rPr>
              <w:t>采购要求</w:t>
            </w:r>
          </w:p>
        </w:tc>
        <w:tc>
          <w:tcPr>
            <w:tcW w:w="1765" w:type="dxa"/>
            <w:vAlign w:val="center"/>
          </w:tcPr>
          <w:p w14:paraId="70C3C1D1">
            <w:pPr>
              <w:snapToGrid/>
              <w:spacing w:line="240" w:lineRule="auto"/>
              <w:jc w:val="center"/>
              <w:rPr>
                <w:rFonts w:ascii="宋体" w:hAnsi="宋体"/>
                <w:color w:val="auto"/>
                <w:szCs w:val="21"/>
                <w:highlight w:val="none"/>
              </w:rPr>
            </w:pPr>
            <w:r>
              <w:rPr>
                <w:rFonts w:hint="eastAsia" w:ascii="宋体" w:hAnsi="宋体"/>
                <w:color w:val="auto"/>
                <w:szCs w:val="21"/>
                <w:highlight w:val="none"/>
              </w:rPr>
              <w:t>投标实际响应</w:t>
            </w:r>
          </w:p>
        </w:tc>
        <w:tc>
          <w:tcPr>
            <w:tcW w:w="1177" w:type="dxa"/>
            <w:vAlign w:val="center"/>
          </w:tcPr>
          <w:p w14:paraId="62191B15">
            <w:pPr>
              <w:snapToGrid/>
              <w:spacing w:line="240" w:lineRule="auto"/>
              <w:jc w:val="center"/>
              <w:rPr>
                <w:rFonts w:ascii="宋体" w:hAnsi="宋体"/>
                <w:color w:val="auto"/>
                <w:szCs w:val="21"/>
                <w:highlight w:val="none"/>
              </w:rPr>
            </w:pPr>
            <w:r>
              <w:rPr>
                <w:rFonts w:hint="eastAsia" w:ascii="宋体" w:hAnsi="宋体"/>
                <w:color w:val="auto"/>
                <w:szCs w:val="21"/>
                <w:highlight w:val="none"/>
              </w:rPr>
              <w:t>是否偏离</w:t>
            </w:r>
          </w:p>
        </w:tc>
        <w:tc>
          <w:tcPr>
            <w:tcW w:w="796" w:type="dxa"/>
            <w:vAlign w:val="center"/>
          </w:tcPr>
          <w:p w14:paraId="0EB08DA1">
            <w:pPr>
              <w:snapToGrid/>
              <w:spacing w:line="240" w:lineRule="auto"/>
              <w:jc w:val="center"/>
              <w:rPr>
                <w:rFonts w:ascii="宋体" w:hAnsi="宋体"/>
                <w:color w:val="auto"/>
                <w:szCs w:val="21"/>
                <w:highlight w:val="none"/>
              </w:rPr>
            </w:pPr>
            <w:r>
              <w:rPr>
                <w:rFonts w:hint="eastAsia" w:ascii="宋体" w:hAnsi="宋体"/>
                <w:color w:val="auto"/>
                <w:szCs w:val="21"/>
                <w:highlight w:val="none"/>
              </w:rPr>
              <w:t>说明</w:t>
            </w:r>
          </w:p>
        </w:tc>
      </w:tr>
      <w:tr w14:paraId="38D66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14:paraId="2059B3E2">
            <w:pPr>
              <w:jc w:val="center"/>
              <w:rPr>
                <w:rFonts w:ascii="宋体" w:hAnsi="宋体"/>
                <w:color w:val="auto"/>
                <w:szCs w:val="21"/>
                <w:highlight w:val="none"/>
              </w:rPr>
            </w:pPr>
          </w:p>
        </w:tc>
        <w:tc>
          <w:tcPr>
            <w:tcW w:w="2793" w:type="dxa"/>
            <w:vAlign w:val="center"/>
          </w:tcPr>
          <w:p w14:paraId="0666449E">
            <w:pPr>
              <w:jc w:val="center"/>
              <w:rPr>
                <w:rFonts w:ascii="宋体" w:hAnsi="宋体"/>
                <w:color w:val="auto"/>
                <w:szCs w:val="21"/>
                <w:highlight w:val="none"/>
              </w:rPr>
            </w:pPr>
          </w:p>
        </w:tc>
        <w:tc>
          <w:tcPr>
            <w:tcW w:w="1898" w:type="dxa"/>
            <w:vAlign w:val="center"/>
          </w:tcPr>
          <w:p w14:paraId="428F4E7F">
            <w:pPr>
              <w:jc w:val="center"/>
              <w:rPr>
                <w:rFonts w:ascii="宋体" w:hAnsi="宋体"/>
                <w:color w:val="auto"/>
                <w:szCs w:val="21"/>
                <w:highlight w:val="none"/>
              </w:rPr>
            </w:pPr>
          </w:p>
        </w:tc>
        <w:tc>
          <w:tcPr>
            <w:tcW w:w="1765" w:type="dxa"/>
            <w:vAlign w:val="center"/>
          </w:tcPr>
          <w:p w14:paraId="517AC870">
            <w:pPr>
              <w:jc w:val="center"/>
              <w:rPr>
                <w:rFonts w:ascii="宋体" w:hAnsi="宋体"/>
                <w:color w:val="auto"/>
                <w:szCs w:val="21"/>
                <w:highlight w:val="none"/>
              </w:rPr>
            </w:pPr>
          </w:p>
        </w:tc>
        <w:tc>
          <w:tcPr>
            <w:tcW w:w="1177" w:type="dxa"/>
            <w:vAlign w:val="center"/>
          </w:tcPr>
          <w:p w14:paraId="150BBEE3">
            <w:pPr>
              <w:jc w:val="center"/>
              <w:rPr>
                <w:rFonts w:ascii="宋体" w:hAnsi="宋体"/>
                <w:color w:val="auto"/>
                <w:szCs w:val="21"/>
                <w:highlight w:val="none"/>
              </w:rPr>
            </w:pPr>
          </w:p>
        </w:tc>
        <w:tc>
          <w:tcPr>
            <w:tcW w:w="796" w:type="dxa"/>
            <w:vAlign w:val="center"/>
          </w:tcPr>
          <w:p w14:paraId="732B9AC5">
            <w:pPr>
              <w:jc w:val="center"/>
              <w:rPr>
                <w:rFonts w:ascii="宋体" w:hAnsi="宋体"/>
                <w:color w:val="auto"/>
                <w:szCs w:val="21"/>
                <w:highlight w:val="none"/>
              </w:rPr>
            </w:pPr>
          </w:p>
        </w:tc>
      </w:tr>
      <w:tr w14:paraId="153B5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14:paraId="2B047ACD">
            <w:pPr>
              <w:jc w:val="center"/>
              <w:rPr>
                <w:rFonts w:ascii="宋体" w:hAnsi="宋体"/>
                <w:color w:val="auto"/>
                <w:szCs w:val="21"/>
                <w:highlight w:val="none"/>
              </w:rPr>
            </w:pPr>
          </w:p>
        </w:tc>
        <w:tc>
          <w:tcPr>
            <w:tcW w:w="2793" w:type="dxa"/>
            <w:vAlign w:val="center"/>
          </w:tcPr>
          <w:p w14:paraId="3EA5F709">
            <w:pPr>
              <w:jc w:val="center"/>
              <w:rPr>
                <w:rFonts w:ascii="宋体" w:hAnsi="宋体"/>
                <w:color w:val="auto"/>
                <w:szCs w:val="21"/>
                <w:highlight w:val="none"/>
              </w:rPr>
            </w:pPr>
          </w:p>
        </w:tc>
        <w:tc>
          <w:tcPr>
            <w:tcW w:w="1898" w:type="dxa"/>
            <w:vAlign w:val="center"/>
          </w:tcPr>
          <w:p w14:paraId="374A5813">
            <w:pPr>
              <w:jc w:val="center"/>
              <w:rPr>
                <w:rFonts w:ascii="宋体" w:hAnsi="宋体"/>
                <w:color w:val="auto"/>
                <w:szCs w:val="21"/>
                <w:highlight w:val="none"/>
              </w:rPr>
            </w:pPr>
          </w:p>
        </w:tc>
        <w:tc>
          <w:tcPr>
            <w:tcW w:w="1765" w:type="dxa"/>
            <w:vAlign w:val="center"/>
          </w:tcPr>
          <w:p w14:paraId="31D3190F">
            <w:pPr>
              <w:jc w:val="center"/>
              <w:rPr>
                <w:rFonts w:ascii="宋体" w:hAnsi="宋体"/>
                <w:color w:val="auto"/>
                <w:szCs w:val="21"/>
                <w:highlight w:val="none"/>
              </w:rPr>
            </w:pPr>
          </w:p>
        </w:tc>
        <w:tc>
          <w:tcPr>
            <w:tcW w:w="1177" w:type="dxa"/>
            <w:vAlign w:val="center"/>
          </w:tcPr>
          <w:p w14:paraId="0BAA3769">
            <w:pPr>
              <w:jc w:val="center"/>
              <w:rPr>
                <w:rFonts w:ascii="宋体" w:hAnsi="宋体"/>
                <w:color w:val="auto"/>
                <w:szCs w:val="21"/>
                <w:highlight w:val="none"/>
              </w:rPr>
            </w:pPr>
          </w:p>
        </w:tc>
        <w:tc>
          <w:tcPr>
            <w:tcW w:w="796" w:type="dxa"/>
            <w:vAlign w:val="center"/>
          </w:tcPr>
          <w:p w14:paraId="3219A685">
            <w:pPr>
              <w:jc w:val="center"/>
              <w:rPr>
                <w:rFonts w:ascii="宋体" w:hAnsi="宋体"/>
                <w:color w:val="auto"/>
                <w:szCs w:val="21"/>
                <w:highlight w:val="none"/>
              </w:rPr>
            </w:pPr>
          </w:p>
        </w:tc>
      </w:tr>
      <w:tr w14:paraId="53823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14:paraId="2659A377">
            <w:pPr>
              <w:jc w:val="center"/>
              <w:rPr>
                <w:rFonts w:ascii="宋体" w:hAnsi="宋体"/>
                <w:color w:val="auto"/>
                <w:szCs w:val="21"/>
                <w:highlight w:val="none"/>
              </w:rPr>
            </w:pPr>
          </w:p>
        </w:tc>
        <w:tc>
          <w:tcPr>
            <w:tcW w:w="2793" w:type="dxa"/>
            <w:vAlign w:val="center"/>
          </w:tcPr>
          <w:p w14:paraId="7F7D9D5E">
            <w:pPr>
              <w:jc w:val="center"/>
              <w:rPr>
                <w:rFonts w:ascii="宋体" w:hAnsi="宋体"/>
                <w:color w:val="auto"/>
                <w:szCs w:val="21"/>
                <w:highlight w:val="none"/>
              </w:rPr>
            </w:pPr>
          </w:p>
        </w:tc>
        <w:tc>
          <w:tcPr>
            <w:tcW w:w="1898" w:type="dxa"/>
            <w:vAlign w:val="center"/>
          </w:tcPr>
          <w:p w14:paraId="31B34EB6">
            <w:pPr>
              <w:jc w:val="center"/>
              <w:rPr>
                <w:rFonts w:ascii="宋体" w:hAnsi="宋体"/>
                <w:color w:val="auto"/>
                <w:szCs w:val="21"/>
                <w:highlight w:val="none"/>
              </w:rPr>
            </w:pPr>
          </w:p>
        </w:tc>
        <w:tc>
          <w:tcPr>
            <w:tcW w:w="1765" w:type="dxa"/>
            <w:vAlign w:val="center"/>
          </w:tcPr>
          <w:p w14:paraId="1A3EF8F2">
            <w:pPr>
              <w:jc w:val="center"/>
              <w:rPr>
                <w:rFonts w:ascii="宋体" w:hAnsi="宋体"/>
                <w:color w:val="auto"/>
                <w:szCs w:val="21"/>
                <w:highlight w:val="none"/>
              </w:rPr>
            </w:pPr>
          </w:p>
        </w:tc>
        <w:tc>
          <w:tcPr>
            <w:tcW w:w="1177" w:type="dxa"/>
            <w:vAlign w:val="center"/>
          </w:tcPr>
          <w:p w14:paraId="2F627E59">
            <w:pPr>
              <w:jc w:val="center"/>
              <w:rPr>
                <w:rFonts w:ascii="宋体" w:hAnsi="宋体"/>
                <w:color w:val="auto"/>
                <w:szCs w:val="21"/>
                <w:highlight w:val="none"/>
              </w:rPr>
            </w:pPr>
          </w:p>
        </w:tc>
        <w:tc>
          <w:tcPr>
            <w:tcW w:w="796" w:type="dxa"/>
            <w:vAlign w:val="center"/>
          </w:tcPr>
          <w:p w14:paraId="2D5BB471">
            <w:pPr>
              <w:jc w:val="center"/>
              <w:rPr>
                <w:rFonts w:ascii="宋体" w:hAnsi="宋体"/>
                <w:color w:val="auto"/>
                <w:szCs w:val="21"/>
                <w:highlight w:val="none"/>
              </w:rPr>
            </w:pPr>
          </w:p>
        </w:tc>
      </w:tr>
      <w:tr w14:paraId="40996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14:paraId="5BEBFEA9">
            <w:pPr>
              <w:jc w:val="center"/>
              <w:rPr>
                <w:rFonts w:ascii="宋体" w:hAnsi="宋体"/>
                <w:color w:val="auto"/>
                <w:szCs w:val="21"/>
                <w:highlight w:val="none"/>
              </w:rPr>
            </w:pPr>
          </w:p>
        </w:tc>
        <w:tc>
          <w:tcPr>
            <w:tcW w:w="2793" w:type="dxa"/>
            <w:vAlign w:val="center"/>
          </w:tcPr>
          <w:p w14:paraId="22245FC0">
            <w:pPr>
              <w:jc w:val="center"/>
              <w:rPr>
                <w:rFonts w:ascii="宋体" w:hAnsi="宋体"/>
                <w:color w:val="auto"/>
                <w:szCs w:val="21"/>
                <w:highlight w:val="none"/>
              </w:rPr>
            </w:pPr>
          </w:p>
        </w:tc>
        <w:tc>
          <w:tcPr>
            <w:tcW w:w="1898" w:type="dxa"/>
            <w:vAlign w:val="center"/>
          </w:tcPr>
          <w:p w14:paraId="29C007BF">
            <w:pPr>
              <w:jc w:val="center"/>
              <w:rPr>
                <w:rFonts w:ascii="宋体" w:hAnsi="宋体"/>
                <w:color w:val="auto"/>
                <w:szCs w:val="21"/>
                <w:highlight w:val="none"/>
              </w:rPr>
            </w:pPr>
          </w:p>
        </w:tc>
        <w:tc>
          <w:tcPr>
            <w:tcW w:w="1765" w:type="dxa"/>
            <w:vAlign w:val="center"/>
          </w:tcPr>
          <w:p w14:paraId="7472AE62">
            <w:pPr>
              <w:jc w:val="center"/>
              <w:rPr>
                <w:rFonts w:ascii="宋体" w:hAnsi="宋体"/>
                <w:color w:val="auto"/>
                <w:szCs w:val="21"/>
                <w:highlight w:val="none"/>
              </w:rPr>
            </w:pPr>
          </w:p>
        </w:tc>
        <w:tc>
          <w:tcPr>
            <w:tcW w:w="1177" w:type="dxa"/>
            <w:vAlign w:val="center"/>
          </w:tcPr>
          <w:p w14:paraId="1FFEDFB6">
            <w:pPr>
              <w:jc w:val="center"/>
              <w:rPr>
                <w:rFonts w:ascii="宋体" w:hAnsi="宋体"/>
                <w:color w:val="auto"/>
                <w:szCs w:val="21"/>
                <w:highlight w:val="none"/>
              </w:rPr>
            </w:pPr>
          </w:p>
        </w:tc>
        <w:tc>
          <w:tcPr>
            <w:tcW w:w="796" w:type="dxa"/>
            <w:vAlign w:val="center"/>
          </w:tcPr>
          <w:p w14:paraId="0FC4C459">
            <w:pPr>
              <w:jc w:val="center"/>
              <w:rPr>
                <w:rFonts w:ascii="宋体" w:hAnsi="宋体"/>
                <w:color w:val="auto"/>
                <w:szCs w:val="21"/>
                <w:highlight w:val="none"/>
              </w:rPr>
            </w:pPr>
          </w:p>
        </w:tc>
      </w:tr>
      <w:tr w14:paraId="04BB4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14:paraId="562C6EA4">
            <w:pPr>
              <w:jc w:val="center"/>
              <w:rPr>
                <w:rFonts w:ascii="宋体" w:hAnsi="宋体"/>
                <w:color w:val="auto"/>
                <w:szCs w:val="21"/>
                <w:highlight w:val="none"/>
              </w:rPr>
            </w:pPr>
          </w:p>
        </w:tc>
        <w:tc>
          <w:tcPr>
            <w:tcW w:w="2793" w:type="dxa"/>
            <w:vAlign w:val="center"/>
          </w:tcPr>
          <w:p w14:paraId="56637B88">
            <w:pPr>
              <w:jc w:val="center"/>
              <w:rPr>
                <w:rFonts w:ascii="宋体" w:hAnsi="宋体"/>
                <w:color w:val="auto"/>
                <w:szCs w:val="21"/>
                <w:highlight w:val="none"/>
              </w:rPr>
            </w:pPr>
          </w:p>
        </w:tc>
        <w:tc>
          <w:tcPr>
            <w:tcW w:w="1898" w:type="dxa"/>
            <w:vAlign w:val="center"/>
          </w:tcPr>
          <w:p w14:paraId="7D64AF88">
            <w:pPr>
              <w:jc w:val="center"/>
              <w:rPr>
                <w:rFonts w:ascii="宋体" w:hAnsi="宋体"/>
                <w:color w:val="auto"/>
                <w:szCs w:val="21"/>
                <w:highlight w:val="none"/>
              </w:rPr>
            </w:pPr>
          </w:p>
        </w:tc>
        <w:tc>
          <w:tcPr>
            <w:tcW w:w="1765" w:type="dxa"/>
            <w:vAlign w:val="center"/>
          </w:tcPr>
          <w:p w14:paraId="4D70E9FF">
            <w:pPr>
              <w:jc w:val="center"/>
              <w:rPr>
                <w:rFonts w:ascii="宋体" w:hAnsi="宋体"/>
                <w:color w:val="auto"/>
                <w:szCs w:val="21"/>
                <w:highlight w:val="none"/>
              </w:rPr>
            </w:pPr>
          </w:p>
        </w:tc>
        <w:tc>
          <w:tcPr>
            <w:tcW w:w="1177" w:type="dxa"/>
            <w:vAlign w:val="center"/>
          </w:tcPr>
          <w:p w14:paraId="6EF3F872">
            <w:pPr>
              <w:jc w:val="center"/>
              <w:rPr>
                <w:rFonts w:ascii="宋体" w:hAnsi="宋体"/>
                <w:color w:val="auto"/>
                <w:szCs w:val="21"/>
                <w:highlight w:val="none"/>
              </w:rPr>
            </w:pPr>
          </w:p>
        </w:tc>
        <w:tc>
          <w:tcPr>
            <w:tcW w:w="796" w:type="dxa"/>
            <w:vAlign w:val="center"/>
          </w:tcPr>
          <w:p w14:paraId="52CC5BDA">
            <w:pPr>
              <w:jc w:val="center"/>
              <w:rPr>
                <w:rFonts w:ascii="宋体" w:hAnsi="宋体"/>
                <w:color w:val="auto"/>
                <w:szCs w:val="21"/>
                <w:highlight w:val="none"/>
              </w:rPr>
            </w:pPr>
          </w:p>
        </w:tc>
      </w:tr>
      <w:tr w14:paraId="130B3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14:paraId="3445C349">
            <w:pPr>
              <w:jc w:val="center"/>
              <w:rPr>
                <w:rFonts w:ascii="宋体" w:hAnsi="宋体"/>
                <w:color w:val="auto"/>
                <w:szCs w:val="21"/>
                <w:highlight w:val="none"/>
              </w:rPr>
            </w:pPr>
          </w:p>
        </w:tc>
        <w:tc>
          <w:tcPr>
            <w:tcW w:w="2793" w:type="dxa"/>
            <w:vAlign w:val="center"/>
          </w:tcPr>
          <w:p w14:paraId="1CB06293">
            <w:pPr>
              <w:jc w:val="center"/>
              <w:rPr>
                <w:rFonts w:ascii="宋体" w:hAnsi="宋体"/>
                <w:color w:val="auto"/>
                <w:szCs w:val="21"/>
                <w:highlight w:val="none"/>
              </w:rPr>
            </w:pPr>
          </w:p>
        </w:tc>
        <w:tc>
          <w:tcPr>
            <w:tcW w:w="1898" w:type="dxa"/>
            <w:vAlign w:val="center"/>
          </w:tcPr>
          <w:p w14:paraId="162BFEB7">
            <w:pPr>
              <w:jc w:val="center"/>
              <w:rPr>
                <w:rFonts w:ascii="宋体" w:hAnsi="宋体"/>
                <w:color w:val="auto"/>
                <w:szCs w:val="21"/>
                <w:highlight w:val="none"/>
              </w:rPr>
            </w:pPr>
          </w:p>
        </w:tc>
        <w:tc>
          <w:tcPr>
            <w:tcW w:w="1765" w:type="dxa"/>
            <w:vAlign w:val="center"/>
          </w:tcPr>
          <w:p w14:paraId="7597BCD6">
            <w:pPr>
              <w:jc w:val="center"/>
              <w:rPr>
                <w:rFonts w:ascii="宋体" w:hAnsi="宋体"/>
                <w:color w:val="auto"/>
                <w:szCs w:val="21"/>
                <w:highlight w:val="none"/>
              </w:rPr>
            </w:pPr>
          </w:p>
        </w:tc>
        <w:tc>
          <w:tcPr>
            <w:tcW w:w="1177" w:type="dxa"/>
            <w:vAlign w:val="center"/>
          </w:tcPr>
          <w:p w14:paraId="3377AC2C">
            <w:pPr>
              <w:jc w:val="center"/>
              <w:rPr>
                <w:rFonts w:ascii="宋体" w:hAnsi="宋体"/>
                <w:color w:val="auto"/>
                <w:szCs w:val="21"/>
                <w:highlight w:val="none"/>
              </w:rPr>
            </w:pPr>
          </w:p>
        </w:tc>
        <w:tc>
          <w:tcPr>
            <w:tcW w:w="796" w:type="dxa"/>
            <w:vAlign w:val="center"/>
          </w:tcPr>
          <w:p w14:paraId="20C3DEBB">
            <w:pPr>
              <w:jc w:val="center"/>
              <w:rPr>
                <w:rFonts w:ascii="宋体" w:hAnsi="宋体"/>
                <w:color w:val="auto"/>
                <w:szCs w:val="21"/>
                <w:highlight w:val="none"/>
              </w:rPr>
            </w:pPr>
          </w:p>
        </w:tc>
      </w:tr>
      <w:tr w14:paraId="4F813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14:paraId="715D84E0">
            <w:pPr>
              <w:jc w:val="center"/>
              <w:rPr>
                <w:rFonts w:ascii="宋体" w:hAnsi="宋体"/>
                <w:color w:val="auto"/>
                <w:szCs w:val="21"/>
                <w:highlight w:val="none"/>
              </w:rPr>
            </w:pPr>
          </w:p>
        </w:tc>
        <w:tc>
          <w:tcPr>
            <w:tcW w:w="2793" w:type="dxa"/>
            <w:vAlign w:val="center"/>
          </w:tcPr>
          <w:p w14:paraId="24733FE6">
            <w:pPr>
              <w:jc w:val="center"/>
              <w:rPr>
                <w:rFonts w:ascii="宋体" w:hAnsi="宋体"/>
                <w:color w:val="auto"/>
                <w:szCs w:val="21"/>
                <w:highlight w:val="none"/>
              </w:rPr>
            </w:pPr>
          </w:p>
        </w:tc>
        <w:tc>
          <w:tcPr>
            <w:tcW w:w="1898" w:type="dxa"/>
            <w:vAlign w:val="center"/>
          </w:tcPr>
          <w:p w14:paraId="192FA2EB">
            <w:pPr>
              <w:jc w:val="center"/>
              <w:rPr>
                <w:rFonts w:ascii="宋体" w:hAnsi="宋体"/>
                <w:color w:val="auto"/>
                <w:szCs w:val="21"/>
                <w:highlight w:val="none"/>
              </w:rPr>
            </w:pPr>
          </w:p>
        </w:tc>
        <w:tc>
          <w:tcPr>
            <w:tcW w:w="1765" w:type="dxa"/>
            <w:vAlign w:val="center"/>
          </w:tcPr>
          <w:p w14:paraId="7737AAD5">
            <w:pPr>
              <w:jc w:val="center"/>
              <w:rPr>
                <w:rFonts w:ascii="宋体" w:hAnsi="宋体"/>
                <w:color w:val="auto"/>
                <w:szCs w:val="21"/>
                <w:highlight w:val="none"/>
              </w:rPr>
            </w:pPr>
          </w:p>
        </w:tc>
        <w:tc>
          <w:tcPr>
            <w:tcW w:w="1177" w:type="dxa"/>
            <w:vAlign w:val="center"/>
          </w:tcPr>
          <w:p w14:paraId="5881FC3F">
            <w:pPr>
              <w:jc w:val="center"/>
              <w:rPr>
                <w:rFonts w:ascii="宋体" w:hAnsi="宋体"/>
                <w:color w:val="auto"/>
                <w:szCs w:val="21"/>
                <w:highlight w:val="none"/>
              </w:rPr>
            </w:pPr>
          </w:p>
        </w:tc>
        <w:tc>
          <w:tcPr>
            <w:tcW w:w="796" w:type="dxa"/>
            <w:vAlign w:val="center"/>
          </w:tcPr>
          <w:p w14:paraId="4DB0CF03">
            <w:pPr>
              <w:jc w:val="center"/>
              <w:rPr>
                <w:rFonts w:ascii="宋体" w:hAnsi="宋体"/>
                <w:color w:val="auto"/>
                <w:szCs w:val="21"/>
                <w:highlight w:val="none"/>
              </w:rPr>
            </w:pPr>
          </w:p>
        </w:tc>
      </w:tr>
      <w:tr w14:paraId="5582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14:paraId="2AE1615D">
            <w:pPr>
              <w:jc w:val="center"/>
              <w:rPr>
                <w:rFonts w:ascii="宋体" w:hAnsi="宋体"/>
                <w:color w:val="auto"/>
                <w:szCs w:val="21"/>
                <w:highlight w:val="none"/>
              </w:rPr>
            </w:pPr>
          </w:p>
        </w:tc>
        <w:tc>
          <w:tcPr>
            <w:tcW w:w="2793" w:type="dxa"/>
            <w:vAlign w:val="center"/>
          </w:tcPr>
          <w:p w14:paraId="44247650">
            <w:pPr>
              <w:jc w:val="center"/>
              <w:rPr>
                <w:rFonts w:ascii="宋体" w:hAnsi="宋体"/>
                <w:color w:val="auto"/>
                <w:szCs w:val="21"/>
                <w:highlight w:val="none"/>
              </w:rPr>
            </w:pPr>
          </w:p>
        </w:tc>
        <w:tc>
          <w:tcPr>
            <w:tcW w:w="1898" w:type="dxa"/>
            <w:vAlign w:val="center"/>
          </w:tcPr>
          <w:p w14:paraId="4ACE48B2">
            <w:pPr>
              <w:jc w:val="center"/>
              <w:rPr>
                <w:rFonts w:ascii="宋体" w:hAnsi="宋体"/>
                <w:color w:val="auto"/>
                <w:szCs w:val="21"/>
                <w:highlight w:val="none"/>
              </w:rPr>
            </w:pPr>
          </w:p>
        </w:tc>
        <w:tc>
          <w:tcPr>
            <w:tcW w:w="1765" w:type="dxa"/>
            <w:vAlign w:val="center"/>
          </w:tcPr>
          <w:p w14:paraId="125E888D">
            <w:pPr>
              <w:jc w:val="center"/>
              <w:rPr>
                <w:rFonts w:ascii="宋体" w:hAnsi="宋体"/>
                <w:color w:val="auto"/>
                <w:szCs w:val="21"/>
                <w:highlight w:val="none"/>
              </w:rPr>
            </w:pPr>
          </w:p>
        </w:tc>
        <w:tc>
          <w:tcPr>
            <w:tcW w:w="1177" w:type="dxa"/>
            <w:vAlign w:val="center"/>
          </w:tcPr>
          <w:p w14:paraId="23183E6F">
            <w:pPr>
              <w:jc w:val="center"/>
              <w:rPr>
                <w:rFonts w:ascii="宋体" w:hAnsi="宋体"/>
                <w:color w:val="auto"/>
                <w:szCs w:val="21"/>
                <w:highlight w:val="none"/>
              </w:rPr>
            </w:pPr>
          </w:p>
        </w:tc>
        <w:tc>
          <w:tcPr>
            <w:tcW w:w="796" w:type="dxa"/>
            <w:vAlign w:val="center"/>
          </w:tcPr>
          <w:p w14:paraId="3D7AA22C">
            <w:pPr>
              <w:jc w:val="center"/>
              <w:rPr>
                <w:rFonts w:ascii="宋体" w:hAnsi="宋体"/>
                <w:color w:val="auto"/>
                <w:szCs w:val="21"/>
                <w:highlight w:val="none"/>
              </w:rPr>
            </w:pPr>
          </w:p>
        </w:tc>
      </w:tr>
      <w:tr w14:paraId="09FDB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14:paraId="20D3D354">
            <w:pPr>
              <w:jc w:val="center"/>
              <w:rPr>
                <w:rFonts w:ascii="宋体" w:hAnsi="宋体"/>
                <w:color w:val="auto"/>
                <w:szCs w:val="21"/>
                <w:highlight w:val="none"/>
              </w:rPr>
            </w:pPr>
          </w:p>
        </w:tc>
        <w:tc>
          <w:tcPr>
            <w:tcW w:w="2793" w:type="dxa"/>
            <w:vAlign w:val="center"/>
          </w:tcPr>
          <w:p w14:paraId="3B2EB3B5">
            <w:pPr>
              <w:jc w:val="center"/>
              <w:rPr>
                <w:rFonts w:ascii="宋体" w:hAnsi="宋体"/>
                <w:color w:val="auto"/>
                <w:szCs w:val="21"/>
                <w:highlight w:val="none"/>
              </w:rPr>
            </w:pPr>
          </w:p>
        </w:tc>
        <w:tc>
          <w:tcPr>
            <w:tcW w:w="1898" w:type="dxa"/>
            <w:vAlign w:val="center"/>
          </w:tcPr>
          <w:p w14:paraId="31B538A1">
            <w:pPr>
              <w:jc w:val="center"/>
              <w:rPr>
                <w:rFonts w:ascii="宋体" w:hAnsi="宋体"/>
                <w:color w:val="auto"/>
                <w:szCs w:val="21"/>
                <w:highlight w:val="none"/>
              </w:rPr>
            </w:pPr>
          </w:p>
        </w:tc>
        <w:tc>
          <w:tcPr>
            <w:tcW w:w="1765" w:type="dxa"/>
            <w:vAlign w:val="center"/>
          </w:tcPr>
          <w:p w14:paraId="51B2C1EE">
            <w:pPr>
              <w:jc w:val="center"/>
              <w:rPr>
                <w:rFonts w:ascii="宋体" w:hAnsi="宋体"/>
                <w:color w:val="auto"/>
                <w:szCs w:val="21"/>
                <w:highlight w:val="none"/>
              </w:rPr>
            </w:pPr>
          </w:p>
        </w:tc>
        <w:tc>
          <w:tcPr>
            <w:tcW w:w="1177" w:type="dxa"/>
            <w:vAlign w:val="center"/>
          </w:tcPr>
          <w:p w14:paraId="7E1D6DC7">
            <w:pPr>
              <w:jc w:val="center"/>
              <w:rPr>
                <w:rFonts w:ascii="宋体" w:hAnsi="宋体"/>
                <w:color w:val="auto"/>
                <w:szCs w:val="21"/>
                <w:highlight w:val="none"/>
              </w:rPr>
            </w:pPr>
          </w:p>
        </w:tc>
        <w:tc>
          <w:tcPr>
            <w:tcW w:w="796" w:type="dxa"/>
            <w:vAlign w:val="center"/>
          </w:tcPr>
          <w:p w14:paraId="0830014A">
            <w:pPr>
              <w:jc w:val="center"/>
              <w:rPr>
                <w:rFonts w:ascii="宋体" w:hAnsi="宋体"/>
                <w:color w:val="auto"/>
                <w:szCs w:val="21"/>
                <w:highlight w:val="none"/>
              </w:rPr>
            </w:pPr>
          </w:p>
        </w:tc>
      </w:tr>
      <w:tr w14:paraId="7F4A6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14:paraId="23873ADC">
            <w:pPr>
              <w:jc w:val="center"/>
              <w:rPr>
                <w:rFonts w:ascii="宋体" w:hAnsi="宋体"/>
                <w:color w:val="auto"/>
                <w:szCs w:val="21"/>
                <w:highlight w:val="none"/>
              </w:rPr>
            </w:pPr>
          </w:p>
        </w:tc>
        <w:tc>
          <w:tcPr>
            <w:tcW w:w="2793" w:type="dxa"/>
            <w:vAlign w:val="center"/>
          </w:tcPr>
          <w:p w14:paraId="4BB17DFA">
            <w:pPr>
              <w:jc w:val="center"/>
              <w:rPr>
                <w:rFonts w:ascii="宋体" w:hAnsi="宋体"/>
                <w:color w:val="auto"/>
                <w:szCs w:val="21"/>
                <w:highlight w:val="none"/>
              </w:rPr>
            </w:pPr>
          </w:p>
        </w:tc>
        <w:tc>
          <w:tcPr>
            <w:tcW w:w="1898" w:type="dxa"/>
            <w:vAlign w:val="center"/>
          </w:tcPr>
          <w:p w14:paraId="7383C7C3">
            <w:pPr>
              <w:jc w:val="center"/>
              <w:rPr>
                <w:rFonts w:ascii="宋体" w:hAnsi="宋体"/>
                <w:color w:val="auto"/>
                <w:szCs w:val="21"/>
                <w:highlight w:val="none"/>
              </w:rPr>
            </w:pPr>
          </w:p>
        </w:tc>
        <w:tc>
          <w:tcPr>
            <w:tcW w:w="1765" w:type="dxa"/>
            <w:vAlign w:val="center"/>
          </w:tcPr>
          <w:p w14:paraId="453127CF">
            <w:pPr>
              <w:jc w:val="center"/>
              <w:rPr>
                <w:rFonts w:ascii="宋体" w:hAnsi="宋体"/>
                <w:color w:val="auto"/>
                <w:szCs w:val="21"/>
                <w:highlight w:val="none"/>
              </w:rPr>
            </w:pPr>
          </w:p>
        </w:tc>
        <w:tc>
          <w:tcPr>
            <w:tcW w:w="1177" w:type="dxa"/>
            <w:vAlign w:val="center"/>
          </w:tcPr>
          <w:p w14:paraId="5A66FA78">
            <w:pPr>
              <w:jc w:val="center"/>
              <w:rPr>
                <w:rFonts w:ascii="宋体" w:hAnsi="宋体"/>
                <w:color w:val="auto"/>
                <w:szCs w:val="21"/>
                <w:highlight w:val="none"/>
              </w:rPr>
            </w:pPr>
          </w:p>
        </w:tc>
        <w:tc>
          <w:tcPr>
            <w:tcW w:w="796" w:type="dxa"/>
            <w:vAlign w:val="center"/>
          </w:tcPr>
          <w:p w14:paraId="0B69E97E">
            <w:pPr>
              <w:jc w:val="center"/>
              <w:rPr>
                <w:rFonts w:ascii="宋体" w:hAnsi="宋体"/>
                <w:color w:val="auto"/>
                <w:szCs w:val="21"/>
                <w:highlight w:val="none"/>
              </w:rPr>
            </w:pPr>
          </w:p>
        </w:tc>
      </w:tr>
    </w:tbl>
    <w:p w14:paraId="20278650">
      <w:pPr>
        <w:rPr>
          <w:rFonts w:ascii="宋体" w:hAnsi="宋体"/>
          <w:color w:val="auto"/>
          <w:szCs w:val="21"/>
          <w:highlight w:val="none"/>
        </w:rPr>
      </w:pPr>
    </w:p>
    <w:p w14:paraId="59183D29">
      <w:pPr>
        <w:rPr>
          <w:rFonts w:ascii="宋体" w:hAnsi="宋体"/>
          <w:color w:val="auto"/>
          <w:szCs w:val="21"/>
          <w:highlight w:val="none"/>
        </w:rPr>
      </w:pPr>
      <w:r>
        <w:rPr>
          <w:rFonts w:hint="eastAsia" w:ascii="宋体" w:hAnsi="宋体"/>
          <w:color w:val="auto"/>
          <w:szCs w:val="21"/>
          <w:highlight w:val="none"/>
        </w:rPr>
        <w:t>投标人代表签字：</w:t>
      </w:r>
    </w:p>
    <w:p w14:paraId="2CB96741">
      <w:pPr>
        <w:rPr>
          <w:rFonts w:ascii="宋体" w:hAnsi="宋体"/>
          <w:color w:val="auto"/>
          <w:szCs w:val="21"/>
          <w:highlight w:val="none"/>
        </w:rPr>
      </w:pPr>
      <w:r>
        <w:rPr>
          <w:rFonts w:hint="eastAsia" w:ascii="宋体" w:hAnsi="宋体"/>
          <w:color w:val="auto"/>
          <w:szCs w:val="21"/>
          <w:highlight w:val="none"/>
        </w:rPr>
        <w:t>投标人盖章：</w:t>
      </w:r>
    </w:p>
    <w:p w14:paraId="02336686">
      <w:pPr>
        <w:ind w:firstLine="178" w:firstLineChars="85"/>
        <w:rPr>
          <w:rFonts w:ascii="宋体" w:hAnsi="宋体"/>
          <w:color w:val="auto"/>
          <w:szCs w:val="21"/>
          <w:highlight w:val="none"/>
        </w:rPr>
      </w:pPr>
    </w:p>
    <w:p w14:paraId="0388A72B">
      <w:pPr>
        <w:rPr>
          <w:rFonts w:ascii="宋体" w:hAnsi="宋体"/>
          <w:color w:val="auto"/>
          <w:szCs w:val="21"/>
          <w:highlight w:val="none"/>
        </w:rPr>
      </w:pPr>
      <w:r>
        <w:rPr>
          <w:rFonts w:hint="eastAsia" w:ascii="宋体" w:hAnsi="宋体"/>
          <w:color w:val="auto"/>
          <w:szCs w:val="21"/>
          <w:highlight w:val="none"/>
        </w:rPr>
        <w:t>注：</w:t>
      </w:r>
    </w:p>
    <w:p w14:paraId="4BC05E92">
      <w:pPr>
        <w:rPr>
          <w:rFonts w:ascii="宋体" w:hAnsi="宋体"/>
          <w:color w:val="auto"/>
          <w:szCs w:val="21"/>
          <w:highlight w:val="none"/>
        </w:rPr>
      </w:pPr>
      <w:r>
        <w:rPr>
          <w:rFonts w:hint="eastAsia" w:ascii="宋体" w:hAnsi="宋体"/>
          <w:color w:val="auto"/>
          <w:szCs w:val="21"/>
          <w:highlight w:val="none"/>
        </w:rPr>
        <w:t>1、投标人应对照采购文件技术需求书中技术规格，说明所提供服务已对采购文件的技术规格做出了实质性的响应，并申明与技术规格条文的偏差和例外。特别对有具体参数要求的指标，投标人必须提供所投设备的具体参数值。</w:t>
      </w:r>
    </w:p>
    <w:p w14:paraId="75AEB686">
      <w:pPr>
        <w:rPr>
          <w:rFonts w:ascii="宋体" w:hAnsi="宋体"/>
          <w:color w:val="auto"/>
          <w:szCs w:val="21"/>
          <w:highlight w:val="none"/>
        </w:rPr>
      </w:pPr>
      <w:r>
        <w:rPr>
          <w:rFonts w:hint="eastAsia" w:ascii="宋体" w:hAnsi="宋体"/>
          <w:color w:val="auto"/>
          <w:szCs w:val="21"/>
          <w:highlight w:val="none"/>
        </w:rPr>
        <w:t>2、</w:t>
      </w:r>
      <w:r>
        <w:rPr>
          <w:rFonts w:hint="eastAsia" w:hAnsi="宋体" w:cs="宋体"/>
          <w:color w:val="auto"/>
          <w:szCs w:val="21"/>
          <w:highlight w:val="none"/>
        </w:rPr>
        <w:t>不论出于何种原因此表未填写</w:t>
      </w:r>
      <w:r>
        <w:rPr>
          <w:rFonts w:hint="eastAsia" w:ascii="宋体" w:hAnsi="宋体"/>
          <w:color w:val="auto"/>
          <w:szCs w:val="21"/>
          <w:highlight w:val="none"/>
        </w:rPr>
        <w:t>完整</w:t>
      </w:r>
      <w:r>
        <w:rPr>
          <w:rFonts w:hint="eastAsia" w:hAnsi="宋体" w:cs="宋体"/>
          <w:color w:val="auto"/>
          <w:szCs w:val="21"/>
          <w:highlight w:val="none"/>
        </w:rPr>
        <w:t>，投标人都被认为已清楚了解采购文件“技术需求书”的内容并对采购人所需的服务要求作全面响应，投标人必须承担完成“技术需求书”所描述内容的义务</w:t>
      </w:r>
      <w:r>
        <w:rPr>
          <w:rFonts w:hint="eastAsia" w:ascii="宋体" w:hAnsi="宋体"/>
          <w:color w:val="auto"/>
          <w:szCs w:val="21"/>
          <w:highlight w:val="none"/>
        </w:rPr>
        <w:t>，因此对投标人投标产生负面影响的，投标人自行承担后果。</w:t>
      </w:r>
    </w:p>
    <w:p w14:paraId="2F8F1352">
      <w:pPr>
        <w:rPr>
          <w:rFonts w:ascii="宋体" w:hAnsi="宋体"/>
          <w:color w:val="auto"/>
          <w:szCs w:val="21"/>
          <w:highlight w:val="none"/>
        </w:rPr>
      </w:pPr>
      <w:r>
        <w:rPr>
          <w:rFonts w:hint="eastAsia" w:ascii="宋体" w:hAnsi="宋体"/>
          <w:color w:val="auto"/>
          <w:szCs w:val="21"/>
          <w:highlight w:val="none"/>
        </w:rPr>
        <w:t>3、</w:t>
      </w:r>
      <w:r>
        <w:rPr>
          <w:rFonts w:hint="eastAsia" w:hAnsi="宋体" w:cs="宋体"/>
          <w:color w:val="auto"/>
          <w:szCs w:val="21"/>
          <w:highlight w:val="none"/>
        </w:rPr>
        <w:t>如有偏离，应在“偏离情况”栏内注明“正”、“负”或“无”，并在“说明”栏内予以说明。</w:t>
      </w:r>
    </w:p>
    <w:p w14:paraId="5F107547">
      <w:pPr>
        <w:rPr>
          <w:rFonts w:ascii="宋体" w:hAnsi="宋体"/>
          <w:color w:val="auto"/>
          <w:szCs w:val="21"/>
          <w:highlight w:val="none"/>
        </w:rPr>
      </w:pPr>
      <w:r>
        <w:rPr>
          <w:rFonts w:hint="eastAsia" w:ascii="宋体" w:hAnsi="宋体"/>
          <w:color w:val="auto"/>
          <w:szCs w:val="21"/>
          <w:highlight w:val="none"/>
        </w:rPr>
        <w:t>4、</w:t>
      </w:r>
      <w:r>
        <w:rPr>
          <w:rFonts w:hint="eastAsia" w:hAnsi="宋体" w:cs="宋体"/>
          <w:color w:val="auto"/>
          <w:szCs w:val="21"/>
          <w:highlight w:val="none"/>
        </w:rPr>
        <w:t>如投标人差异内容较多可另附页说明。</w:t>
      </w:r>
    </w:p>
    <w:p w14:paraId="3EEE14CE">
      <w:pPr>
        <w:rPr>
          <w:rFonts w:ascii="宋体" w:hAnsi="宋体"/>
          <w:color w:val="auto"/>
          <w:szCs w:val="21"/>
          <w:highlight w:val="none"/>
        </w:rPr>
      </w:pPr>
      <w:r>
        <w:rPr>
          <w:rFonts w:hint="eastAsia" w:ascii="宋体" w:hAnsi="宋体"/>
          <w:color w:val="auto"/>
          <w:szCs w:val="21"/>
          <w:highlight w:val="none"/>
        </w:rPr>
        <w:t>5、</w:t>
      </w:r>
      <w:r>
        <w:rPr>
          <w:rFonts w:hint="eastAsia" w:hAnsi="宋体" w:cs="宋体"/>
          <w:color w:val="auto"/>
          <w:szCs w:val="21"/>
          <w:highlight w:val="none"/>
        </w:rPr>
        <w:t>如投标人对用户需求书</w:t>
      </w:r>
      <w:r>
        <w:rPr>
          <w:rFonts w:hint="eastAsia" w:hAnsi="宋体" w:cs="宋体"/>
          <w:color w:val="auto"/>
          <w:szCs w:val="21"/>
          <w:highlight w:val="none"/>
          <w:lang w:val="en-US" w:eastAsia="zh-CN"/>
        </w:rPr>
        <w:t>技术</w:t>
      </w:r>
      <w:r>
        <w:rPr>
          <w:rFonts w:hint="eastAsia" w:hAnsi="宋体" w:cs="宋体"/>
          <w:color w:val="auto"/>
          <w:szCs w:val="21"/>
          <w:highlight w:val="none"/>
        </w:rPr>
        <w:t>要求的条款全部响应的，也可以在表格下面用文字总括性的说明。</w:t>
      </w:r>
    </w:p>
    <w:p w14:paraId="153BD445">
      <w:pPr>
        <w:rPr>
          <w:rFonts w:ascii="宋体" w:hAnsi="宋体"/>
          <w:color w:val="auto"/>
          <w:szCs w:val="21"/>
          <w:highlight w:val="none"/>
        </w:rPr>
      </w:pPr>
      <w:bookmarkStart w:id="246" w:name="_Toc17691"/>
      <w:r>
        <w:rPr>
          <w:rFonts w:hint="eastAsia" w:ascii="宋体" w:hAnsi="宋体"/>
          <w:color w:val="auto"/>
          <w:szCs w:val="21"/>
          <w:highlight w:val="none"/>
        </w:rPr>
        <w:br w:type="page"/>
      </w:r>
    </w:p>
    <w:bookmarkEnd w:id="246"/>
    <w:p w14:paraId="503C5146">
      <w:pPr>
        <w:pStyle w:val="8"/>
        <w:widowControl w:val="0"/>
        <w:overflowPunct w:val="0"/>
        <w:spacing w:line="240" w:lineRule="auto"/>
        <w:rPr>
          <w:rFonts w:ascii="宋体" w:hAnsi="宋体"/>
          <w:color w:val="auto"/>
          <w:sz w:val="21"/>
          <w:szCs w:val="21"/>
          <w:highlight w:val="none"/>
        </w:rPr>
      </w:pPr>
      <w:bookmarkStart w:id="247" w:name="_Toc13819"/>
      <w:bookmarkStart w:id="248" w:name="_Toc26957"/>
      <w:r>
        <w:rPr>
          <w:rFonts w:hint="eastAsia" w:ascii="宋体" w:hAnsi="宋体"/>
          <w:color w:val="auto"/>
          <w:sz w:val="21"/>
          <w:szCs w:val="21"/>
          <w:highlight w:val="none"/>
        </w:rPr>
        <w:t>附件1</w:t>
      </w:r>
      <w:r>
        <w:rPr>
          <w:rFonts w:hint="eastAsia" w:ascii="宋体" w:hAnsi="宋体"/>
          <w:color w:val="auto"/>
          <w:sz w:val="21"/>
          <w:szCs w:val="21"/>
          <w:highlight w:val="none"/>
          <w:lang w:val="en-US" w:eastAsia="zh-CN"/>
        </w:rPr>
        <w:t>6</w:t>
      </w:r>
      <w:r>
        <w:rPr>
          <w:rFonts w:hint="eastAsia" w:ascii="宋体" w:hAnsi="宋体"/>
          <w:color w:val="auto"/>
          <w:sz w:val="21"/>
          <w:szCs w:val="21"/>
          <w:highlight w:val="none"/>
        </w:rPr>
        <w:t>.项目实施方案格式</w:t>
      </w:r>
      <w:bookmarkEnd w:id="247"/>
      <w:bookmarkEnd w:id="248"/>
    </w:p>
    <w:p w14:paraId="239B2842">
      <w:pPr>
        <w:jc w:val="center"/>
        <w:rPr>
          <w:rFonts w:ascii="黑体" w:eastAsia="黑体"/>
          <w:color w:val="auto"/>
          <w:sz w:val="32"/>
          <w:szCs w:val="32"/>
          <w:highlight w:val="none"/>
        </w:rPr>
      </w:pPr>
    </w:p>
    <w:p w14:paraId="6001C6CE">
      <w:pPr>
        <w:jc w:val="center"/>
        <w:rPr>
          <w:rFonts w:ascii="黑体" w:eastAsia="黑体"/>
          <w:color w:val="auto"/>
          <w:sz w:val="32"/>
          <w:szCs w:val="32"/>
          <w:highlight w:val="none"/>
        </w:rPr>
      </w:pPr>
      <w:r>
        <w:rPr>
          <w:rFonts w:hint="eastAsia" w:ascii="黑体" w:eastAsia="黑体"/>
          <w:color w:val="auto"/>
          <w:sz w:val="32"/>
          <w:szCs w:val="32"/>
          <w:highlight w:val="none"/>
        </w:rPr>
        <w:t>项目实施方案</w:t>
      </w:r>
    </w:p>
    <w:p w14:paraId="08B87E60">
      <w:pPr>
        <w:jc w:val="center"/>
        <w:rPr>
          <w:rFonts w:ascii="黑体" w:eastAsia="黑体"/>
          <w:color w:val="auto"/>
          <w:sz w:val="32"/>
          <w:szCs w:val="32"/>
          <w:highlight w:val="none"/>
        </w:rPr>
      </w:pPr>
    </w:p>
    <w:p w14:paraId="07848C22">
      <w:pPr>
        <w:snapToGrid/>
        <w:ind w:left="718" w:leftChars="200" w:hanging="298" w:hangingChars="142"/>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整体项目服务方案</w:t>
      </w:r>
    </w:p>
    <w:p w14:paraId="3339BC6D">
      <w:pPr>
        <w:snapToGrid/>
        <w:ind w:left="718" w:leftChars="200" w:hanging="298" w:hangingChars="142"/>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突发事件应急预案</w:t>
      </w:r>
    </w:p>
    <w:p w14:paraId="5165E510">
      <w:pPr>
        <w:snapToGrid/>
        <w:ind w:left="718" w:leftChars="200" w:hanging="298" w:hangingChars="142"/>
        <w:rPr>
          <w:rFonts w:ascii="宋体" w:hAnsi="宋体"/>
          <w:color w:val="auto"/>
          <w:szCs w:val="21"/>
          <w:highlight w:val="none"/>
        </w:rPr>
      </w:pPr>
      <w:r>
        <w:rPr>
          <w:rFonts w:hint="eastAsia" w:ascii="宋体" w:hAnsi="宋体"/>
          <w:color w:val="auto"/>
          <w:szCs w:val="21"/>
          <w:highlight w:val="none"/>
        </w:rPr>
        <w:t>3、质量</w:t>
      </w:r>
      <w:r>
        <w:rPr>
          <w:rFonts w:hint="eastAsia" w:ascii="宋体" w:hAnsi="宋体"/>
          <w:color w:val="auto"/>
          <w:szCs w:val="21"/>
          <w:highlight w:val="none"/>
          <w:lang w:val="en-US" w:eastAsia="zh-CN"/>
        </w:rPr>
        <w:t>与</w:t>
      </w:r>
      <w:r>
        <w:rPr>
          <w:rFonts w:hint="eastAsia" w:ascii="宋体" w:hAnsi="宋体"/>
          <w:color w:val="auto"/>
          <w:szCs w:val="21"/>
          <w:highlight w:val="none"/>
        </w:rPr>
        <w:t>安全</w:t>
      </w:r>
      <w:r>
        <w:rPr>
          <w:rFonts w:hint="eastAsia" w:ascii="宋体" w:hAnsi="宋体"/>
          <w:color w:val="auto"/>
          <w:szCs w:val="21"/>
          <w:highlight w:val="none"/>
          <w:lang w:val="en-US" w:eastAsia="zh-CN"/>
        </w:rPr>
        <w:t>保障措施</w:t>
      </w:r>
    </w:p>
    <w:p w14:paraId="2B366235">
      <w:pPr>
        <w:snapToGrid/>
        <w:ind w:left="718" w:leftChars="200" w:hanging="298" w:hangingChars="142"/>
        <w:rPr>
          <w:rFonts w:ascii="宋体" w:hAnsi="宋体"/>
          <w:color w:val="auto"/>
          <w:szCs w:val="21"/>
          <w:highlight w:val="none"/>
        </w:rPr>
      </w:pPr>
      <w:r>
        <w:rPr>
          <w:rFonts w:hint="eastAsia" w:ascii="宋体" w:hAnsi="宋体"/>
          <w:color w:val="auto"/>
          <w:szCs w:val="21"/>
          <w:highlight w:val="none"/>
        </w:rPr>
        <w:t>4、</w:t>
      </w:r>
      <w:r>
        <w:rPr>
          <w:rFonts w:hint="eastAsia" w:ascii="宋体" w:hAnsi="宋体"/>
          <w:color w:val="auto"/>
          <w:szCs w:val="21"/>
          <w:highlight w:val="none"/>
          <w:lang w:val="en-US" w:eastAsia="zh-CN"/>
        </w:rPr>
        <w:t>投标人认为需要提供的</w:t>
      </w:r>
      <w:r>
        <w:rPr>
          <w:rFonts w:hint="eastAsia" w:ascii="宋体" w:hAnsi="宋体"/>
          <w:color w:val="auto"/>
          <w:szCs w:val="21"/>
          <w:highlight w:val="none"/>
        </w:rPr>
        <w:t>服务方案</w:t>
      </w:r>
    </w:p>
    <w:p w14:paraId="1B4D2554">
      <w:pPr>
        <w:snapToGrid/>
        <w:ind w:left="718" w:leftChars="200" w:hanging="298" w:hangingChars="142"/>
        <w:rPr>
          <w:rFonts w:ascii="宋体" w:hAnsi="宋体"/>
          <w:color w:val="auto"/>
          <w:szCs w:val="21"/>
          <w:highlight w:val="none"/>
        </w:rPr>
      </w:pPr>
      <w:r>
        <w:rPr>
          <w:rFonts w:hint="eastAsia" w:ascii="宋体" w:hAnsi="宋体"/>
          <w:color w:val="auto"/>
          <w:szCs w:val="21"/>
          <w:highlight w:val="none"/>
        </w:rPr>
        <w:t>5、..........</w:t>
      </w:r>
    </w:p>
    <w:p w14:paraId="2396238B">
      <w:pPr>
        <w:snapToGrid/>
        <w:ind w:left="718" w:leftChars="200" w:hanging="298" w:hangingChars="142"/>
        <w:rPr>
          <w:rFonts w:ascii="宋体" w:hAnsi="宋体" w:cs="Times New Roman"/>
          <w:color w:val="auto"/>
          <w:szCs w:val="21"/>
          <w:highlight w:val="none"/>
        </w:rPr>
      </w:pPr>
      <w:r>
        <w:rPr>
          <w:rFonts w:hint="eastAsia" w:ascii="宋体" w:hAnsi="宋体"/>
          <w:color w:val="auto"/>
          <w:szCs w:val="21"/>
          <w:highlight w:val="none"/>
        </w:rPr>
        <w:t>自行编写。</w:t>
      </w:r>
    </w:p>
    <w:p w14:paraId="2DA95AE2">
      <w:pPr>
        <w:snapToGrid/>
        <w:ind w:left="718" w:leftChars="200" w:hanging="298" w:hangingChars="142"/>
        <w:rPr>
          <w:rFonts w:ascii="宋体" w:hAnsi="宋体"/>
          <w:color w:val="auto"/>
          <w:szCs w:val="21"/>
          <w:highlight w:val="none"/>
        </w:rPr>
      </w:pPr>
    </w:p>
    <w:p w14:paraId="4AB5B1BA">
      <w:pPr>
        <w:ind w:left="718" w:leftChars="200" w:hanging="298" w:hangingChars="142"/>
        <w:rPr>
          <w:rFonts w:ascii="宋体" w:hAnsi="宋体"/>
          <w:color w:val="auto"/>
          <w:szCs w:val="21"/>
          <w:highlight w:val="none"/>
        </w:rPr>
      </w:pPr>
    </w:p>
    <w:p w14:paraId="7826614B">
      <w:pPr>
        <w:ind w:left="718" w:leftChars="200" w:hanging="298" w:hangingChars="142"/>
        <w:rPr>
          <w:rFonts w:ascii="宋体" w:hAnsi="宋体"/>
          <w:color w:val="auto"/>
          <w:szCs w:val="21"/>
          <w:highlight w:val="none"/>
        </w:rPr>
      </w:pPr>
      <w:r>
        <w:rPr>
          <w:rFonts w:hint="eastAsia" w:ascii="宋体" w:hAnsi="宋体"/>
          <w:color w:val="auto"/>
          <w:szCs w:val="21"/>
          <w:highlight w:val="none"/>
        </w:rPr>
        <w:br w:type="page"/>
      </w:r>
    </w:p>
    <w:p w14:paraId="7D4DBC08">
      <w:pPr>
        <w:pStyle w:val="8"/>
        <w:widowControl w:val="0"/>
        <w:overflowPunct w:val="0"/>
        <w:spacing w:line="240" w:lineRule="auto"/>
        <w:rPr>
          <w:rFonts w:ascii="宋体" w:hAnsi="宋体"/>
          <w:color w:val="auto"/>
          <w:sz w:val="21"/>
          <w:szCs w:val="21"/>
          <w:highlight w:val="none"/>
        </w:rPr>
      </w:pPr>
      <w:bookmarkStart w:id="249" w:name="_Toc23846"/>
      <w:bookmarkStart w:id="250" w:name="_Toc2742"/>
      <w:r>
        <w:rPr>
          <w:rFonts w:hint="eastAsia" w:ascii="宋体" w:hAnsi="宋体"/>
          <w:color w:val="auto"/>
          <w:sz w:val="21"/>
          <w:szCs w:val="21"/>
          <w:highlight w:val="none"/>
        </w:rPr>
        <w:t>附件1</w:t>
      </w:r>
      <w:r>
        <w:rPr>
          <w:rFonts w:hint="eastAsia" w:ascii="宋体" w:hAnsi="宋体"/>
          <w:color w:val="auto"/>
          <w:sz w:val="21"/>
          <w:szCs w:val="21"/>
          <w:highlight w:val="none"/>
          <w:lang w:val="en-US" w:eastAsia="zh-CN"/>
        </w:rPr>
        <w:t>7</w:t>
      </w:r>
      <w:r>
        <w:rPr>
          <w:rFonts w:hint="eastAsia" w:ascii="宋体" w:hAnsi="宋体"/>
          <w:color w:val="auto"/>
          <w:sz w:val="21"/>
          <w:szCs w:val="21"/>
          <w:highlight w:val="none"/>
        </w:rPr>
        <w:t>.实施本项目的有关人员资料表格式</w:t>
      </w:r>
      <w:bookmarkEnd w:id="249"/>
      <w:bookmarkEnd w:id="250"/>
    </w:p>
    <w:p w14:paraId="70D1F50D">
      <w:pPr>
        <w:jc w:val="center"/>
        <w:rPr>
          <w:rFonts w:ascii="宋体" w:hAnsi="宋体"/>
          <w:color w:val="auto"/>
          <w:szCs w:val="21"/>
          <w:highlight w:val="none"/>
        </w:rPr>
      </w:pPr>
    </w:p>
    <w:p w14:paraId="16453B25">
      <w:pPr>
        <w:jc w:val="center"/>
        <w:rPr>
          <w:rFonts w:ascii="黑体" w:eastAsia="黑体"/>
          <w:color w:val="auto"/>
          <w:sz w:val="32"/>
          <w:szCs w:val="32"/>
          <w:highlight w:val="none"/>
        </w:rPr>
      </w:pPr>
      <w:r>
        <w:rPr>
          <w:rFonts w:hint="eastAsia" w:ascii="黑体" w:eastAsia="黑体"/>
          <w:color w:val="auto"/>
          <w:sz w:val="32"/>
          <w:szCs w:val="32"/>
          <w:highlight w:val="none"/>
        </w:rPr>
        <w:t>实施本项目的有关人员资料表</w:t>
      </w:r>
    </w:p>
    <w:tbl>
      <w:tblPr>
        <w:tblStyle w:val="32"/>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702"/>
        <w:gridCol w:w="1861"/>
        <w:gridCol w:w="702"/>
        <w:gridCol w:w="702"/>
        <w:gridCol w:w="1164"/>
        <w:gridCol w:w="818"/>
        <w:gridCol w:w="1165"/>
        <w:gridCol w:w="703"/>
      </w:tblGrid>
      <w:tr w14:paraId="6EFF1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09" w:hRule="atLeast"/>
          <w:jc w:val="center"/>
        </w:trPr>
        <w:tc>
          <w:tcPr>
            <w:tcW w:w="702" w:type="dxa"/>
            <w:vAlign w:val="center"/>
          </w:tcPr>
          <w:p w14:paraId="16366323">
            <w:pPr>
              <w:snapToGrid/>
              <w:spacing w:line="240" w:lineRule="auto"/>
              <w:jc w:val="center"/>
              <w:rPr>
                <w:rFonts w:ascii="宋体" w:hAnsi="宋体"/>
                <w:color w:val="auto"/>
                <w:szCs w:val="21"/>
                <w:highlight w:val="none"/>
              </w:rPr>
            </w:pPr>
            <w:r>
              <w:rPr>
                <w:rFonts w:hint="eastAsia" w:ascii="宋体" w:hAnsi="宋体"/>
                <w:color w:val="auto"/>
                <w:szCs w:val="21"/>
                <w:highlight w:val="none"/>
              </w:rPr>
              <w:t>序号</w:t>
            </w:r>
          </w:p>
        </w:tc>
        <w:tc>
          <w:tcPr>
            <w:tcW w:w="702" w:type="dxa"/>
            <w:vAlign w:val="center"/>
          </w:tcPr>
          <w:p w14:paraId="3CD0D5EB">
            <w:pPr>
              <w:snapToGrid/>
              <w:spacing w:line="240" w:lineRule="auto"/>
              <w:jc w:val="center"/>
              <w:rPr>
                <w:rFonts w:ascii="宋体" w:hAnsi="宋体"/>
                <w:color w:val="auto"/>
                <w:szCs w:val="21"/>
                <w:highlight w:val="none"/>
              </w:rPr>
            </w:pPr>
            <w:r>
              <w:rPr>
                <w:rFonts w:hint="eastAsia" w:ascii="宋体" w:hAnsi="宋体"/>
                <w:color w:val="auto"/>
                <w:szCs w:val="21"/>
                <w:highlight w:val="none"/>
              </w:rPr>
              <w:t>姓名</w:t>
            </w:r>
          </w:p>
        </w:tc>
        <w:tc>
          <w:tcPr>
            <w:tcW w:w="1861" w:type="dxa"/>
            <w:vAlign w:val="center"/>
          </w:tcPr>
          <w:p w14:paraId="264F0E95">
            <w:pPr>
              <w:snapToGrid/>
              <w:spacing w:line="240" w:lineRule="auto"/>
              <w:jc w:val="center"/>
              <w:rPr>
                <w:rFonts w:ascii="宋体" w:hAnsi="宋体"/>
                <w:color w:val="auto"/>
                <w:szCs w:val="21"/>
                <w:highlight w:val="none"/>
              </w:rPr>
            </w:pPr>
            <w:r>
              <w:rPr>
                <w:rFonts w:hint="eastAsia" w:ascii="宋体" w:hAnsi="宋体"/>
                <w:color w:val="auto"/>
                <w:szCs w:val="21"/>
                <w:highlight w:val="none"/>
              </w:rPr>
              <w:t>本项目拟任岗位</w:t>
            </w:r>
          </w:p>
        </w:tc>
        <w:tc>
          <w:tcPr>
            <w:tcW w:w="702" w:type="dxa"/>
            <w:vAlign w:val="center"/>
          </w:tcPr>
          <w:p w14:paraId="78992EAC">
            <w:pPr>
              <w:snapToGrid/>
              <w:spacing w:line="240" w:lineRule="auto"/>
              <w:jc w:val="center"/>
              <w:rPr>
                <w:rFonts w:ascii="宋体" w:hAnsi="宋体"/>
                <w:color w:val="auto"/>
                <w:szCs w:val="21"/>
                <w:highlight w:val="none"/>
              </w:rPr>
            </w:pPr>
            <w:r>
              <w:rPr>
                <w:rFonts w:hint="eastAsia" w:ascii="宋体" w:hAnsi="宋体"/>
                <w:color w:val="auto"/>
                <w:szCs w:val="21"/>
                <w:highlight w:val="none"/>
              </w:rPr>
              <w:t>性别</w:t>
            </w:r>
          </w:p>
        </w:tc>
        <w:tc>
          <w:tcPr>
            <w:tcW w:w="702" w:type="dxa"/>
            <w:vAlign w:val="center"/>
          </w:tcPr>
          <w:p w14:paraId="26BE508B">
            <w:pPr>
              <w:snapToGrid/>
              <w:spacing w:line="240" w:lineRule="auto"/>
              <w:jc w:val="center"/>
              <w:rPr>
                <w:rFonts w:ascii="宋体" w:hAnsi="宋体"/>
                <w:color w:val="auto"/>
                <w:szCs w:val="21"/>
                <w:highlight w:val="none"/>
              </w:rPr>
            </w:pPr>
            <w:r>
              <w:rPr>
                <w:rFonts w:hint="eastAsia" w:ascii="宋体" w:hAnsi="宋体"/>
                <w:color w:val="auto"/>
                <w:szCs w:val="21"/>
                <w:highlight w:val="none"/>
              </w:rPr>
              <w:t>年龄</w:t>
            </w:r>
          </w:p>
        </w:tc>
        <w:tc>
          <w:tcPr>
            <w:tcW w:w="1164" w:type="dxa"/>
            <w:vAlign w:val="center"/>
          </w:tcPr>
          <w:p w14:paraId="6B46E7E9">
            <w:pPr>
              <w:snapToGrid/>
              <w:spacing w:line="240" w:lineRule="auto"/>
              <w:jc w:val="center"/>
              <w:rPr>
                <w:rFonts w:ascii="宋体" w:hAnsi="宋体"/>
                <w:color w:val="auto"/>
                <w:szCs w:val="21"/>
                <w:highlight w:val="none"/>
              </w:rPr>
            </w:pPr>
            <w:r>
              <w:rPr>
                <w:rFonts w:hint="eastAsia" w:ascii="宋体" w:hAnsi="宋体"/>
                <w:color w:val="auto"/>
                <w:szCs w:val="21"/>
                <w:highlight w:val="none"/>
              </w:rPr>
              <w:t>技术职称</w:t>
            </w:r>
          </w:p>
        </w:tc>
        <w:tc>
          <w:tcPr>
            <w:tcW w:w="818" w:type="dxa"/>
            <w:vAlign w:val="center"/>
          </w:tcPr>
          <w:p w14:paraId="6EA484ED">
            <w:pPr>
              <w:snapToGrid/>
              <w:spacing w:line="240" w:lineRule="auto"/>
              <w:jc w:val="center"/>
              <w:rPr>
                <w:rFonts w:ascii="宋体" w:hAnsi="宋体"/>
                <w:color w:val="auto"/>
                <w:szCs w:val="21"/>
                <w:highlight w:val="none"/>
              </w:rPr>
            </w:pPr>
            <w:r>
              <w:rPr>
                <w:rFonts w:hint="eastAsia" w:ascii="宋体" w:hAnsi="宋体"/>
                <w:color w:val="auto"/>
                <w:szCs w:val="21"/>
                <w:highlight w:val="none"/>
              </w:rPr>
              <w:t>专业</w:t>
            </w:r>
          </w:p>
        </w:tc>
        <w:tc>
          <w:tcPr>
            <w:tcW w:w="1165" w:type="dxa"/>
            <w:vAlign w:val="center"/>
          </w:tcPr>
          <w:p w14:paraId="18A6DF16">
            <w:pPr>
              <w:snapToGrid/>
              <w:spacing w:line="240" w:lineRule="auto"/>
              <w:jc w:val="center"/>
              <w:rPr>
                <w:rFonts w:ascii="宋体" w:hAnsi="宋体"/>
                <w:color w:val="auto"/>
                <w:szCs w:val="21"/>
                <w:highlight w:val="none"/>
              </w:rPr>
            </w:pPr>
            <w:r>
              <w:rPr>
                <w:rFonts w:hint="eastAsia" w:ascii="宋体" w:hAnsi="宋体"/>
                <w:color w:val="auto"/>
                <w:szCs w:val="21"/>
                <w:highlight w:val="none"/>
              </w:rPr>
              <w:t>资质证书</w:t>
            </w:r>
          </w:p>
        </w:tc>
        <w:tc>
          <w:tcPr>
            <w:tcW w:w="703" w:type="dxa"/>
            <w:tcBorders>
              <w:right w:val="single" w:color="auto" w:sz="6" w:space="0"/>
            </w:tcBorders>
            <w:vAlign w:val="center"/>
          </w:tcPr>
          <w:p w14:paraId="60C73198">
            <w:pPr>
              <w:snapToGrid/>
              <w:spacing w:line="240" w:lineRule="auto"/>
              <w:jc w:val="center"/>
              <w:rPr>
                <w:rFonts w:ascii="宋体" w:hAnsi="宋体"/>
                <w:color w:val="auto"/>
                <w:szCs w:val="21"/>
                <w:highlight w:val="none"/>
              </w:rPr>
            </w:pPr>
            <w:r>
              <w:rPr>
                <w:rFonts w:hint="eastAsia" w:ascii="宋体" w:hAnsi="宋体"/>
                <w:color w:val="auto"/>
                <w:szCs w:val="21"/>
                <w:highlight w:val="none"/>
              </w:rPr>
              <w:t>备注</w:t>
            </w:r>
          </w:p>
        </w:tc>
      </w:tr>
      <w:tr w14:paraId="0F92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28E37514">
            <w:pPr>
              <w:spacing w:line="288" w:lineRule="auto"/>
              <w:jc w:val="center"/>
              <w:rPr>
                <w:rFonts w:ascii="宋体" w:hAnsi="宋体"/>
                <w:color w:val="auto"/>
                <w:szCs w:val="21"/>
                <w:highlight w:val="none"/>
              </w:rPr>
            </w:pPr>
          </w:p>
        </w:tc>
        <w:tc>
          <w:tcPr>
            <w:tcW w:w="702" w:type="dxa"/>
            <w:vAlign w:val="center"/>
          </w:tcPr>
          <w:p w14:paraId="2F6D5AFE">
            <w:pPr>
              <w:spacing w:line="288" w:lineRule="auto"/>
              <w:jc w:val="center"/>
              <w:rPr>
                <w:rFonts w:ascii="宋体" w:hAnsi="宋体"/>
                <w:color w:val="auto"/>
                <w:szCs w:val="21"/>
                <w:highlight w:val="none"/>
              </w:rPr>
            </w:pPr>
          </w:p>
        </w:tc>
        <w:tc>
          <w:tcPr>
            <w:tcW w:w="1861" w:type="dxa"/>
            <w:vAlign w:val="center"/>
          </w:tcPr>
          <w:p w14:paraId="784ED786">
            <w:pPr>
              <w:spacing w:line="288" w:lineRule="auto"/>
              <w:jc w:val="center"/>
              <w:rPr>
                <w:rFonts w:ascii="宋体" w:hAnsi="宋体"/>
                <w:color w:val="auto"/>
                <w:szCs w:val="21"/>
                <w:highlight w:val="none"/>
              </w:rPr>
            </w:pPr>
          </w:p>
        </w:tc>
        <w:tc>
          <w:tcPr>
            <w:tcW w:w="702" w:type="dxa"/>
            <w:vAlign w:val="center"/>
          </w:tcPr>
          <w:p w14:paraId="3D04D8F0">
            <w:pPr>
              <w:spacing w:line="288" w:lineRule="auto"/>
              <w:jc w:val="center"/>
              <w:rPr>
                <w:rFonts w:ascii="宋体" w:hAnsi="宋体"/>
                <w:color w:val="auto"/>
                <w:szCs w:val="21"/>
                <w:highlight w:val="none"/>
              </w:rPr>
            </w:pPr>
          </w:p>
        </w:tc>
        <w:tc>
          <w:tcPr>
            <w:tcW w:w="702" w:type="dxa"/>
            <w:vAlign w:val="center"/>
          </w:tcPr>
          <w:p w14:paraId="3D7903BF">
            <w:pPr>
              <w:spacing w:line="288" w:lineRule="auto"/>
              <w:jc w:val="center"/>
              <w:rPr>
                <w:rFonts w:ascii="宋体" w:hAnsi="宋体"/>
                <w:color w:val="auto"/>
                <w:szCs w:val="21"/>
                <w:highlight w:val="none"/>
              </w:rPr>
            </w:pPr>
          </w:p>
        </w:tc>
        <w:tc>
          <w:tcPr>
            <w:tcW w:w="1164" w:type="dxa"/>
            <w:vAlign w:val="center"/>
          </w:tcPr>
          <w:p w14:paraId="2100A8B2">
            <w:pPr>
              <w:spacing w:line="288" w:lineRule="auto"/>
              <w:jc w:val="center"/>
              <w:rPr>
                <w:rFonts w:ascii="宋体" w:hAnsi="宋体"/>
                <w:color w:val="auto"/>
                <w:szCs w:val="21"/>
                <w:highlight w:val="none"/>
              </w:rPr>
            </w:pPr>
          </w:p>
        </w:tc>
        <w:tc>
          <w:tcPr>
            <w:tcW w:w="818" w:type="dxa"/>
            <w:vAlign w:val="center"/>
          </w:tcPr>
          <w:p w14:paraId="381628FD">
            <w:pPr>
              <w:spacing w:line="288" w:lineRule="auto"/>
              <w:jc w:val="center"/>
              <w:rPr>
                <w:rFonts w:ascii="宋体" w:hAnsi="宋体"/>
                <w:color w:val="auto"/>
                <w:szCs w:val="21"/>
                <w:highlight w:val="none"/>
              </w:rPr>
            </w:pPr>
          </w:p>
        </w:tc>
        <w:tc>
          <w:tcPr>
            <w:tcW w:w="1165" w:type="dxa"/>
            <w:vAlign w:val="center"/>
          </w:tcPr>
          <w:p w14:paraId="742CBE4B">
            <w:pPr>
              <w:spacing w:line="288" w:lineRule="auto"/>
              <w:jc w:val="center"/>
              <w:rPr>
                <w:rFonts w:ascii="宋体" w:hAnsi="宋体"/>
                <w:color w:val="auto"/>
                <w:szCs w:val="21"/>
                <w:highlight w:val="none"/>
              </w:rPr>
            </w:pPr>
          </w:p>
        </w:tc>
        <w:tc>
          <w:tcPr>
            <w:tcW w:w="703" w:type="dxa"/>
            <w:tcBorders>
              <w:right w:val="single" w:color="auto" w:sz="6" w:space="0"/>
            </w:tcBorders>
            <w:vAlign w:val="center"/>
          </w:tcPr>
          <w:p w14:paraId="1DFF7158">
            <w:pPr>
              <w:spacing w:line="288" w:lineRule="auto"/>
              <w:jc w:val="center"/>
              <w:rPr>
                <w:rFonts w:ascii="宋体" w:hAnsi="宋体"/>
                <w:color w:val="auto"/>
                <w:szCs w:val="21"/>
                <w:highlight w:val="none"/>
              </w:rPr>
            </w:pPr>
          </w:p>
        </w:tc>
      </w:tr>
      <w:tr w14:paraId="11A45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22511C41">
            <w:pPr>
              <w:spacing w:line="288" w:lineRule="auto"/>
              <w:jc w:val="center"/>
              <w:rPr>
                <w:rFonts w:ascii="宋体" w:hAnsi="宋体"/>
                <w:color w:val="auto"/>
                <w:szCs w:val="21"/>
                <w:highlight w:val="none"/>
              </w:rPr>
            </w:pPr>
          </w:p>
        </w:tc>
        <w:tc>
          <w:tcPr>
            <w:tcW w:w="702" w:type="dxa"/>
            <w:vAlign w:val="center"/>
          </w:tcPr>
          <w:p w14:paraId="04172A33">
            <w:pPr>
              <w:spacing w:line="288" w:lineRule="auto"/>
              <w:jc w:val="center"/>
              <w:rPr>
                <w:rFonts w:ascii="宋体" w:hAnsi="宋体"/>
                <w:color w:val="auto"/>
                <w:szCs w:val="21"/>
                <w:highlight w:val="none"/>
              </w:rPr>
            </w:pPr>
          </w:p>
        </w:tc>
        <w:tc>
          <w:tcPr>
            <w:tcW w:w="1861" w:type="dxa"/>
            <w:vAlign w:val="center"/>
          </w:tcPr>
          <w:p w14:paraId="20459448">
            <w:pPr>
              <w:spacing w:line="288" w:lineRule="auto"/>
              <w:jc w:val="center"/>
              <w:rPr>
                <w:rFonts w:ascii="宋体" w:hAnsi="宋体"/>
                <w:color w:val="auto"/>
                <w:szCs w:val="21"/>
                <w:highlight w:val="none"/>
              </w:rPr>
            </w:pPr>
          </w:p>
        </w:tc>
        <w:tc>
          <w:tcPr>
            <w:tcW w:w="702" w:type="dxa"/>
            <w:vAlign w:val="center"/>
          </w:tcPr>
          <w:p w14:paraId="27D43A8E">
            <w:pPr>
              <w:spacing w:line="288" w:lineRule="auto"/>
              <w:jc w:val="center"/>
              <w:rPr>
                <w:rFonts w:ascii="宋体" w:hAnsi="宋体"/>
                <w:color w:val="auto"/>
                <w:szCs w:val="21"/>
                <w:highlight w:val="none"/>
              </w:rPr>
            </w:pPr>
          </w:p>
        </w:tc>
        <w:tc>
          <w:tcPr>
            <w:tcW w:w="702" w:type="dxa"/>
            <w:vAlign w:val="center"/>
          </w:tcPr>
          <w:p w14:paraId="7B35AA9D">
            <w:pPr>
              <w:spacing w:line="288" w:lineRule="auto"/>
              <w:jc w:val="center"/>
              <w:rPr>
                <w:rFonts w:ascii="宋体" w:hAnsi="宋体"/>
                <w:color w:val="auto"/>
                <w:szCs w:val="21"/>
                <w:highlight w:val="none"/>
              </w:rPr>
            </w:pPr>
          </w:p>
        </w:tc>
        <w:tc>
          <w:tcPr>
            <w:tcW w:w="1164" w:type="dxa"/>
            <w:vAlign w:val="center"/>
          </w:tcPr>
          <w:p w14:paraId="6ADE48D9">
            <w:pPr>
              <w:spacing w:line="288" w:lineRule="auto"/>
              <w:jc w:val="center"/>
              <w:rPr>
                <w:rFonts w:ascii="宋体" w:hAnsi="宋体"/>
                <w:color w:val="auto"/>
                <w:szCs w:val="21"/>
                <w:highlight w:val="none"/>
              </w:rPr>
            </w:pPr>
          </w:p>
        </w:tc>
        <w:tc>
          <w:tcPr>
            <w:tcW w:w="818" w:type="dxa"/>
            <w:vAlign w:val="center"/>
          </w:tcPr>
          <w:p w14:paraId="34CEB536">
            <w:pPr>
              <w:spacing w:line="288" w:lineRule="auto"/>
              <w:jc w:val="center"/>
              <w:rPr>
                <w:rFonts w:ascii="宋体" w:hAnsi="宋体"/>
                <w:color w:val="auto"/>
                <w:szCs w:val="21"/>
                <w:highlight w:val="none"/>
              </w:rPr>
            </w:pPr>
          </w:p>
        </w:tc>
        <w:tc>
          <w:tcPr>
            <w:tcW w:w="1165" w:type="dxa"/>
            <w:vAlign w:val="center"/>
          </w:tcPr>
          <w:p w14:paraId="57B3A68B">
            <w:pPr>
              <w:spacing w:line="288" w:lineRule="auto"/>
              <w:jc w:val="center"/>
              <w:rPr>
                <w:rFonts w:ascii="宋体" w:hAnsi="宋体"/>
                <w:color w:val="auto"/>
                <w:szCs w:val="21"/>
                <w:highlight w:val="none"/>
              </w:rPr>
            </w:pPr>
          </w:p>
        </w:tc>
        <w:tc>
          <w:tcPr>
            <w:tcW w:w="703" w:type="dxa"/>
            <w:tcBorders>
              <w:right w:val="single" w:color="auto" w:sz="6" w:space="0"/>
            </w:tcBorders>
            <w:vAlign w:val="center"/>
          </w:tcPr>
          <w:p w14:paraId="33BEA866">
            <w:pPr>
              <w:spacing w:line="288" w:lineRule="auto"/>
              <w:jc w:val="center"/>
              <w:rPr>
                <w:rFonts w:ascii="宋体" w:hAnsi="宋体"/>
                <w:color w:val="auto"/>
                <w:szCs w:val="21"/>
                <w:highlight w:val="none"/>
              </w:rPr>
            </w:pPr>
          </w:p>
        </w:tc>
      </w:tr>
      <w:tr w14:paraId="45EBC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05F878CC">
            <w:pPr>
              <w:spacing w:line="288" w:lineRule="auto"/>
              <w:jc w:val="center"/>
              <w:rPr>
                <w:rFonts w:ascii="宋体" w:hAnsi="宋体"/>
                <w:color w:val="auto"/>
                <w:szCs w:val="21"/>
                <w:highlight w:val="none"/>
              </w:rPr>
            </w:pPr>
          </w:p>
        </w:tc>
        <w:tc>
          <w:tcPr>
            <w:tcW w:w="702" w:type="dxa"/>
            <w:vAlign w:val="center"/>
          </w:tcPr>
          <w:p w14:paraId="2D6139B2">
            <w:pPr>
              <w:spacing w:line="288" w:lineRule="auto"/>
              <w:jc w:val="center"/>
              <w:rPr>
                <w:rFonts w:ascii="宋体" w:hAnsi="宋体"/>
                <w:color w:val="auto"/>
                <w:szCs w:val="21"/>
                <w:highlight w:val="none"/>
              </w:rPr>
            </w:pPr>
          </w:p>
        </w:tc>
        <w:tc>
          <w:tcPr>
            <w:tcW w:w="1861" w:type="dxa"/>
            <w:vAlign w:val="center"/>
          </w:tcPr>
          <w:p w14:paraId="4E708A7F">
            <w:pPr>
              <w:spacing w:line="288" w:lineRule="auto"/>
              <w:jc w:val="center"/>
              <w:rPr>
                <w:rFonts w:ascii="宋体" w:hAnsi="宋体"/>
                <w:color w:val="auto"/>
                <w:szCs w:val="21"/>
                <w:highlight w:val="none"/>
              </w:rPr>
            </w:pPr>
          </w:p>
        </w:tc>
        <w:tc>
          <w:tcPr>
            <w:tcW w:w="702" w:type="dxa"/>
            <w:vAlign w:val="center"/>
          </w:tcPr>
          <w:p w14:paraId="5385AFB0">
            <w:pPr>
              <w:spacing w:line="288" w:lineRule="auto"/>
              <w:jc w:val="center"/>
              <w:rPr>
                <w:rFonts w:ascii="宋体" w:hAnsi="宋体"/>
                <w:color w:val="auto"/>
                <w:szCs w:val="21"/>
                <w:highlight w:val="none"/>
              </w:rPr>
            </w:pPr>
          </w:p>
        </w:tc>
        <w:tc>
          <w:tcPr>
            <w:tcW w:w="702" w:type="dxa"/>
            <w:vAlign w:val="center"/>
          </w:tcPr>
          <w:p w14:paraId="3C457742">
            <w:pPr>
              <w:spacing w:line="288" w:lineRule="auto"/>
              <w:jc w:val="center"/>
              <w:rPr>
                <w:rFonts w:ascii="宋体" w:hAnsi="宋体"/>
                <w:color w:val="auto"/>
                <w:szCs w:val="21"/>
                <w:highlight w:val="none"/>
              </w:rPr>
            </w:pPr>
          </w:p>
        </w:tc>
        <w:tc>
          <w:tcPr>
            <w:tcW w:w="1164" w:type="dxa"/>
            <w:vAlign w:val="center"/>
          </w:tcPr>
          <w:p w14:paraId="274E3F3C">
            <w:pPr>
              <w:spacing w:line="288" w:lineRule="auto"/>
              <w:jc w:val="center"/>
              <w:rPr>
                <w:rFonts w:ascii="宋体" w:hAnsi="宋体"/>
                <w:color w:val="auto"/>
                <w:szCs w:val="21"/>
                <w:highlight w:val="none"/>
              </w:rPr>
            </w:pPr>
          </w:p>
        </w:tc>
        <w:tc>
          <w:tcPr>
            <w:tcW w:w="818" w:type="dxa"/>
            <w:vAlign w:val="center"/>
          </w:tcPr>
          <w:p w14:paraId="5A6E7153">
            <w:pPr>
              <w:spacing w:line="288" w:lineRule="auto"/>
              <w:jc w:val="center"/>
              <w:rPr>
                <w:rFonts w:ascii="宋体" w:hAnsi="宋体"/>
                <w:color w:val="auto"/>
                <w:szCs w:val="21"/>
                <w:highlight w:val="none"/>
              </w:rPr>
            </w:pPr>
          </w:p>
        </w:tc>
        <w:tc>
          <w:tcPr>
            <w:tcW w:w="1165" w:type="dxa"/>
            <w:vAlign w:val="center"/>
          </w:tcPr>
          <w:p w14:paraId="3DAFBC16">
            <w:pPr>
              <w:spacing w:line="288" w:lineRule="auto"/>
              <w:jc w:val="center"/>
              <w:rPr>
                <w:rFonts w:ascii="宋体" w:hAnsi="宋体"/>
                <w:color w:val="auto"/>
                <w:szCs w:val="21"/>
                <w:highlight w:val="none"/>
              </w:rPr>
            </w:pPr>
          </w:p>
        </w:tc>
        <w:tc>
          <w:tcPr>
            <w:tcW w:w="703" w:type="dxa"/>
            <w:tcBorders>
              <w:right w:val="single" w:color="auto" w:sz="6" w:space="0"/>
            </w:tcBorders>
            <w:vAlign w:val="center"/>
          </w:tcPr>
          <w:p w14:paraId="13382136">
            <w:pPr>
              <w:spacing w:line="288" w:lineRule="auto"/>
              <w:jc w:val="center"/>
              <w:rPr>
                <w:rFonts w:ascii="宋体" w:hAnsi="宋体"/>
                <w:color w:val="auto"/>
                <w:szCs w:val="21"/>
                <w:highlight w:val="none"/>
              </w:rPr>
            </w:pPr>
          </w:p>
        </w:tc>
      </w:tr>
      <w:tr w14:paraId="19720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2DBF1CD3">
            <w:pPr>
              <w:spacing w:line="288" w:lineRule="auto"/>
              <w:jc w:val="center"/>
              <w:rPr>
                <w:rFonts w:ascii="宋体" w:hAnsi="宋体"/>
                <w:color w:val="auto"/>
                <w:szCs w:val="21"/>
                <w:highlight w:val="none"/>
              </w:rPr>
            </w:pPr>
          </w:p>
        </w:tc>
        <w:tc>
          <w:tcPr>
            <w:tcW w:w="702" w:type="dxa"/>
            <w:vAlign w:val="center"/>
          </w:tcPr>
          <w:p w14:paraId="4CC6BD26">
            <w:pPr>
              <w:spacing w:line="288" w:lineRule="auto"/>
              <w:jc w:val="center"/>
              <w:rPr>
                <w:rFonts w:ascii="宋体" w:hAnsi="宋体"/>
                <w:color w:val="auto"/>
                <w:szCs w:val="21"/>
                <w:highlight w:val="none"/>
              </w:rPr>
            </w:pPr>
          </w:p>
        </w:tc>
        <w:tc>
          <w:tcPr>
            <w:tcW w:w="1861" w:type="dxa"/>
            <w:vAlign w:val="center"/>
          </w:tcPr>
          <w:p w14:paraId="5BBBEF2E">
            <w:pPr>
              <w:spacing w:line="288" w:lineRule="auto"/>
              <w:jc w:val="center"/>
              <w:rPr>
                <w:rFonts w:ascii="宋体" w:hAnsi="宋体"/>
                <w:color w:val="auto"/>
                <w:szCs w:val="21"/>
                <w:highlight w:val="none"/>
              </w:rPr>
            </w:pPr>
          </w:p>
        </w:tc>
        <w:tc>
          <w:tcPr>
            <w:tcW w:w="702" w:type="dxa"/>
            <w:vAlign w:val="center"/>
          </w:tcPr>
          <w:p w14:paraId="07722D0D">
            <w:pPr>
              <w:spacing w:line="288" w:lineRule="auto"/>
              <w:jc w:val="center"/>
              <w:rPr>
                <w:rFonts w:ascii="宋体" w:hAnsi="宋体"/>
                <w:color w:val="auto"/>
                <w:szCs w:val="21"/>
                <w:highlight w:val="none"/>
              </w:rPr>
            </w:pPr>
          </w:p>
        </w:tc>
        <w:tc>
          <w:tcPr>
            <w:tcW w:w="702" w:type="dxa"/>
            <w:vAlign w:val="center"/>
          </w:tcPr>
          <w:p w14:paraId="384FC9A7">
            <w:pPr>
              <w:spacing w:line="288" w:lineRule="auto"/>
              <w:jc w:val="center"/>
              <w:rPr>
                <w:rFonts w:ascii="宋体" w:hAnsi="宋体"/>
                <w:color w:val="auto"/>
                <w:szCs w:val="21"/>
                <w:highlight w:val="none"/>
              </w:rPr>
            </w:pPr>
          </w:p>
        </w:tc>
        <w:tc>
          <w:tcPr>
            <w:tcW w:w="1164" w:type="dxa"/>
            <w:vAlign w:val="center"/>
          </w:tcPr>
          <w:p w14:paraId="2067EC12">
            <w:pPr>
              <w:spacing w:line="288" w:lineRule="auto"/>
              <w:jc w:val="center"/>
              <w:rPr>
                <w:rFonts w:ascii="宋体" w:hAnsi="宋体"/>
                <w:color w:val="auto"/>
                <w:szCs w:val="21"/>
                <w:highlight w:val="none"/>
              </w:rPr>
            </w:pPr>
          </w:p>
        </w:tc>
        <w:tc>
          <w:tcPr>
            <w:tcW w:w="818" w:type="dxa"/>
            <w:vAlign w:val="center"/>
          </w:tcPr>
          <w:p w14:paraId="486BB003">
            <w:pPr>
              <w:spacing w:line="288" w:lineRule="auto"/>
              <w:jc w:val="center"/>
              <w:rPr>
                <w:rFonts w:ascii="宋体" w:hAnsi="宋体"/>
                <w:color w:val="auto"/>
                <w:szCs w:val="21"/>
                <w:highlight w:val="none"/>
              </w:rPr>
            </w:pPr>
          </w:p>
        </w:tc>
        <w:tc>
          <w:tcPr>
            <w:tcW w:w="1165" w:type="dxa"/>
            <w:vAlign w:val="center"/>
          </w:tcPr>
          <w:p w14:paraId="1208FF75">
            <w:pPr>
              <w:spacing w:line="288" w:lineRule="auto"/>
              <w:jc w:val="center"/>
              <w:rPr>
                <w:rFonts w:ascii="宋体" w:hAnsi="宋体"/>
                <w:color w:val="auto"/>
                <w:szCs w:val="21"/>
                <w:highlight w:val="none"/>
              </w:rPr>
            </w:pPr>
          </w:p>
        </w:tc>
        <w:tc>
          <w:tcPr>
            <w:tcW w:w="703" w:type="dxa"/>
            <w:tcBorders>
              <w:right w:val="single" w:color="auto" w:sz="6" w:space="0"/>
            </w:tcBorders>
            <w:vAlign w:val="center"/>
          </w:tcPr>
          <w:p w14:paraId="7BC4C020">
            <w:pPr>
              <w:spacing w:line="288" w:lineRule="auto"/>
              <w:jc w:val="center"/>
              <w:rPr>
                <w:rFonts w:ascii="宋体" w:hAnsi="宋体"/>
                <w:color w:val="auto"/>
                <w:szCs w:val="21"/>
                <w:highlight w:val="none"/>
              </w:rPr>
            </w:pPr>
          </w:p>
        </w:tc>
      </w:tr>
      <w:tr w14:paraId="4B267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3E44D097">
            <w:pPr>
              <w:spacing w:line="288" w:lineRule="auto"/>
              <w:jc w:val="center"/>
              <w:rPr>
                <w:rFonts w:ascii="宋体" w:hAnsi="宋体"/>
                <w:color w:val="auto"/>
                <w:szCs w:val="21"/>
                <w:highlight w:val="none"/>
              </w:rPr>
            </w:pPr>
          </w:p>
        </w:tc>
        <w:tc>
          <w:tcPr>
            <w:tcW w:w="702" w:type="dxa"/>
            <w:vAlign w:val="center"/>
          </w:tcPr>
          <w:p w14:paraId="6F078B6C">
            <w:pPr>
              <w:spacing w:line="288" w:lineRule="auto"/>
              <w:jc w:val="center"/>
              <w:rPr>
                <w:rFonts w:ascii="宋体" w:hAnsi="宋体"/>
                <w:color w:val="auto"/>
                <w:szCs w:val="21"/>
                <w:highlight w:val="none"/>
              </w:rPr>
            </w:pPr>
          </w:p>
        </w:tc>
        <w:tc>
          <w:tcPr>
            <w:tcW w:w="1861" w:type="dxa"/>
            <w:vAlign w:val="center"/>
          </w:tcPr>
          <w:p w14:paraId="77690539">
            <w:pPr>
              <w:spacing w:line="288" w:lineRule="auto"/>
              <w:jc w:val="center"/>
              <w:rPr>
                <w:rFonts w:ascii="宋体" w:hAnsi="宋体"/>
                <w:color w:val="auto"/>
                <w:szCs w:val="21"/>
                <w:highlight w:val="none"/>
              </w:rPr>
            </w:pPr>
          </w:p>
        </w:tc>
        <w:tc>
          <w:tcPr>
            <w:tcW w:w="702" w:type="dxa"/>
            <w:vAlign w:val="center"/>
          </w:tcPr>
          <w:p w14:paraId="6FA6A263">
            <w:pPr>
              <w:spacing w:line="288" w:lineRule="auto"/>
              <w:jc w:val="center"/>
              <w:rPr>
                <w:rFonts w:ascii="宋体" w:hAnsi="宋体"/>
                <w:color w:val="auto"/>
                <w:szCs w:val="21"/>
                <w:highlight w:val="none"/>
              </w:rPr>
            </w:pPr>
          </w:p>
        </w:tc>
        <w:tc>
          <w:tcPr>
            <w:tcW w:w="702" w:type="dxa"/>
            <w:vAlign w:val="center"/>
          </w:tcPr>
          <w:p w14:paraId="20E87650">
            <w:pPr>
              <w:spacing w:line="288" w:lineRule="auto"/>
              <w:jc w:val="center"/>
              <w:rPr>
                <w:rFonts w:ascii="宋体" w:hAnsi="宋体"/>
                <w:color w:val="auto"/>
                <w:szCs w:val="21"/>
                <w:highlight w:val="none"/>
              </w:rPr>
            </w:pPr>
          </w:p>
        </w:tc>
        <w:tc>
          <w:tcPr>
            <w:tcW w:w="1164" w:type="dxa"/>
            <w:vAlign w:val="center"/>
          </w:tcPr>
          <w:p w14:paraId="66486D81">
            <w:pPr>
              <w:spacing w:line="288" w:lineRule="auto"/>
              <w:jc w:val="center"/>
              <w:rPr>
                <w:rFonts w:ascii="宋体" w:hAnsi="宋体"/>
                <w:color w:val="auto"/>
                <w:szCs w:val="21"/>
                <w:highlight w:val="none"/>
              </w:rPr>
            </w:pPr>
          </w:p>
        </w:tc>
        <w:tc>
          <w:tcPr>
            <w:tcW w:w="818" w:type="dxa"/>
            <w:vAlign w:val="center"/>
          </w:tcPr>
          <w:p w14:paraId="414413C1">
            <w:pPr>
              <w:spacing w:line="288" w:lineRule="auto"/>
              <w:jc w:val="center"/>
              <w:rPr>
                <w:rFonts w:ascii="宋体" w:hAnsi="宋体"/>
                <w:color w:val="auto"/>
                <w:szCs w:val="21"/>
                <w:highlight w:val="none"/>
              </w:rPr>
            </w:pPr>
          </w:p>
        </w:tc>
        <w:tc>
          <w:tcPr>
            <w:tcW w:w="1165" w:type="dxa"/>
            <w:vAlign w:val="center"/>
          </w:tcPr>
          <w:p w14:paraId="503248FC">
            <w:pPr>
              <w:spacing w:line="288" w:lineRule="auto"/>
              <w:jc w:val="center"/>
              <w:rPr>
                <w:rFonts w:ascii="宋体" w:hAnsi="宋体"/>
                <w:color w:val="auto"/>
                <w:szCs w:val="21"/>
                <w:highlight w:val="none"/>
              </w:rPr>
            </w:pPr>
          </w:p>
        </w:tc>
        <w:tc>
          <w:tcPr>
            <w:tcW w:w="703" w:type="dxa"/>
            <w:tcBorders>
              <w:right w:val="single" w:color="auto" w:sz="6" w:space="0"/>
            </w:tcBorders>
            <w:vAlign w:val="center"/>
          </w:tcPr>
          <w:p w14:paraId="7995E136">
            <w:pPr>
              <w:spacing w:line="288" w:lineRule="auto"/>
              <w:jc w:val="center"/>
              <w:rPr>
                <w:rFonts w:ascii="宋体" w:hAnsi="宋体"/>
                <w:color w:val="auto"/>
                <w:szCs w:val="21"/>
                <w:highlight w:val="none"/>
              </w:rPr>
            </w:pPr>
          </w:p>
        </w:tc>
      </w:tr>
      <w:tr w14:paraId="1250E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7CFD1764">
            <w:pPr>
              <w:spacing w:line="288" w:lineRule="auto"/>
              <w:jc w:val="center"/>
              <w:rPr>
                <w:rFonts w:ascii="宋体" w:hAnsi="宋体"/>
                <w:color w:val="auto"/>
                <w:szCs w:val="21"/>
                <w:highlight w:val="none"/>
              </w:rPr>
            </w:pPr>
          </w:p>
        </w:tc>
        <w:tc>
          <w:tcPr>
            <w:tcW w:w="702" w:type="dxa"/>
            <w:vAlign w:val="center"/>
          </w:tcPr>
          <w:p w14:paraId="5F5505F2">
            <w:pPr>
              <w:spacing w:line="288" w:lineRule="auto"/>
              <w:jc w:val="center"/>
              <w:rPr>
                <w:rFonts w:ascii="宋体" w:hAnsi="宋体"/>
                <w:color w:val="auto"/>
                <w:szCs w:val="21"/>
                <w:highlight w:val="none"/>
              </w:rPr>
            </w:pPr>
          </w:p>
        </w:tc>
        <w:tc>
          <w:tcPr>
            <w:tcW w:w="1861" w:type="dxa"/>
            <w:vAlign w:val="center"/>
          </w:tcPr>
          <w:p w14:paraId="218F57A2">
            <w:pPr>
              <w:spacing w:line="288" w:lineRule="auto"/>
              <w:jc w:val="center"/>
              <w:rPr>
                <w:rFonts w:ascii="宋体" w:hAnsi="宋体"/>
                <w:color w:val="auto"/>
                <w:szCs w:val="21"/>
                <w:highlight w:val="none"/>
              </w:rPr>
            </w:pPr>
          </w:p>
        </w:tc>
        <w:tc>
          <w:tcPr>
            <w:tcW w:w="702" w:type="dxa"/>
            <w:vAlign w:val="center"/>
          </w:tcPr>
          <w:p w14:paraId="01C3DDDC">
            <w:pPr>
              <w:spacing w:line="288" w:lineRule="auto"/>
              <w:jc w:val="center"/>
              <w:rPr>
                <w:rFonts w:ascii="宋体" w:hAnsi="宋体"/>
                <w:color w:val="auto"/>
                <w:szCs w:val="21"/>
                <w:highlight w:val="none"/>
              </w:rPr>
            </w:pPr>
          </w:p>
        </w:tc>
        <w:tc>
          <w:tcPr>
            <w:tcW w:w="702" w:type="dxa"/>
            <w:vAlign w:val="center"/>
          </w:tcPr>
          <w:p w14:paraId="1063E7FD">
            <w:pPr>
              <w:spacing w:line="288" w:lineRule="auto"/>
              <w:jc w:val="center"/>
              <w:rPr>
                <w:rFonts w:ascii="宋体" w:hAnsi="宋体"/>
                <w:color w:val="auto"/>
                <w:szCs w:val="21"/>
                <w:highlight w:val="none"/>
              </w:rPr>
            </w:pPr>
          </w:p>
        </w:tc>
        <w:tc>
          <w:tcPr>
            <w:tcW w:w="1164" w:type="dxa"/>
            <w:vAlign w:val="center"/>
          </w:tcPr>
          <w:p w14:paraId="498D9F1A">
            <w:pPr>
              <w:spacing w:line="288" w:lineRule="auto"/>
              <w:jc w:val="center"/>
              <w:rPr>
                <w:rFonts w:ascii="宋体" w:hAnsi="宋体"/>
                <w:color w:val="auto"/>
                <w:szCs w:val="21"/>
                <w:highlight w:val="none"/>
              </w:rPr>
            </w:pPr>
          </w:p>
        </w:tc>
        <w:tc>
          <w:tcPr>
            <w:tcW w:w="818" w:type="dxa"/>
            <w:vAlign w:val="center"/>
          </w:tcPr>
          <w:p w14:paraId="762CF083">
            <w:pPr>
              <w:spacing w:line="288" w:lineRule="auto"/>
              <w:jc w:val="center"/>
              <w:rPr>
                <w:rFonts w:ascii="宋体" w:hAnsi="宋体"/>
                <w:color w:val="auto"/>
                <w:szCs w:val="21"/>
                <w:highlight w:val="none"/>
              </w:rPr>
            </w:pPr>
          </w:p>
        </w:tc>
        <w:tc>
          <w:tcPr>
            <w:tcW w:w="1165" w:type="dxa"/>
            <w:vAlign w:val="center"/>
          </w:tcPr>
          <w:p w14:paraId="3FDC8F63">
            <w:pPr>
              <w:spacing w:line="288" w:lineRule="auto"/>
              <w:jc w:val="center"/>
              <w:rPr>
                <w:rFonts w:ascii="宋体" w:hAnsi="宋体"/>
                <w:color w:val="auto"/>
                <w:szCs w:val="21"/>
                <w:highlight w:val="none"/>
              </w:rPr>
            </w:pPr>
          </w:p>
        </w:tc>
        <w:tc>
          <w:tcPr>
            <w:tcW w:w="703" w:type="dxa"/>
            <w:tcBorders>
              <w:right w:val="single" w:color="auto" w:sz="6" w:space="0"/>
            </w:tcBorders>
            <w:vAlign w:val="center"/>
          </w:tcPr>
          <w:p w14:paraId="32C69644">
            <w:pPr>
              <w:spacing w:line="288" w:lineRule="auto"/>
              <w:jc w:val="center"/>
              <w:rPr>
                <w:rFonts w:ascii="宋体" w:hAnsi="宋体"/>
                <w:color w:val="auto"/>
                <w:szCs w:val="21"/>
                <w:highlight w:val="none"/>
              </w:rPr>
            </w:pPr>
          </w:p>
        </w:tc>
      </w:tr>
      <w:tr w14:paraId="64E31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62F0893C">
            <w:pPr>
              <w:spacing w:line="288" w:lineRule="auto"/>
              <w:jc w:val="center"/>
              <w:rPr>
                <w:rFonts w:ascii="宋体" w:hAnsi="宋体"/>
                <w:color w:val="auto"/>
                <w:szCs w:val="21"/>
                <w:highlight w:val="none"/>
              </w:rPr>
            </w:pPr>
          </w:p>
        </w:tc>
        <w:tc>
          <w:tcPr>
            <w:tcW w:w="702" w:type="dxa"/>
            <w:vAlign w:val="center"/>
          </w:tcPr>
          <w:p w14:paraId="65FB42B4">
            <w:pPr>
              <w:spacing w:line="288" w:lineRule="auto"/>
              <w:jc w:val="center"/>
              <w:rPr>
                <w:rFonts w:ascii="宋体" w:hAnsi="宋体"/>
                <w:color w:val="auto"/>
                <w:szCs w:val="21"/>
                <w:highlight w:val="none"/>
              </w:rPr>
            </w:pPr>
          </w:p>
        </w:tc>
        <w:tc>
          <w:tcPr>
            <w:tcW w:w="1861" w:type="dxa"/>
            <w:vAlign w:val="center"/>
          </w:tcPr>
          <w:p w14:paraId="1282F0AE">
            <w:pPr>
              <w:spacing w:line="288" w:lineRule="auto"/>
              <w:jc w:val="center"/>
              <w:rPr>
                <w:rFonts w:ascii="宋体" w:hAnsi="宋体"/>
                <w:color w:val="auto"/>
                <w:szCs w:val="21"/>
                <w:highlight w:val="none"/>
              </w:rPr>
            </w:pPr>
          </w:p>
        </w:tc>
        <w:tc>
          <w:tcPr>
            <w:tcW w:w="702" w:type="dxa"/>
            <w:vAlign w:val="center"/>
          </w:tcPr>
          <w:p w14:paraId="7DFE3958">
            <w:pPr>
              <w:spacing w:line="288" w:lineRule="auto"/>
              <w:jc w:val="center"/>
              <w:rPr>
                <w:rFonts w:ascii="宋体" w:hAnsi="宋体"/>
                <w:color w:val="auto"/>
                <w:szCs w:val="21"/>
                <w:highlight w:val="none"/>
              </w:rPr>
            </w:pPr>
          </w:p>
        </w:tc>
        <w:tc>
          <w:tcPr>
            <w:tcW w:w="702" w:type="dxa"/>
            <w:vAlign w:val="center"/>
          </w:tcPr>
          <w:p w14:paraId="73F9CF3E">
            <w:pPr>
              <w:spacing w:line="288" w:lineRule="auto"/>
              <w:jc w:val="center"/>
              <w:rPr>
                <w:rFonts w:ascii="宋体" w:hAnsi="宋体"/>
                <w:color w:val="auto"/>
                <w:szCs w:val="21"/>
                <w:highlight w:val="none"/>
              </w:rPr>
            </w:pPr>
          </w:p>
        </w:tc>
        <w:tc>
          <w:tcPr>
            <w:tcW w:w="1164" w:type="dxa"/>
            <w:vAlign w:val="center"/>
          </w:tcPr>
          <w:p w14:paraId="7A0DCA33">
            <w:pPr>
              <w:spacing w:line="288" w:lineRule="auto"/>
              <w:jc w:val="center"/>
              <w:rPr>
                <w:rFonts w:ascii="宋体" w:hAnsi="宋体"/>
                <w:color w:val="auto"/>
                <w:szCs w:val="21"/>
                <w:highlight w:val="none"/>
              </w:rPr>
            </w:pPr>
          </w:p>
        </w:tc>
        <w:tc>
          <w:tcPr>
            <w:tcW w:w="818" w:type="dxa"/>
            <w:vAlign w:val="center"/>
          </w:tcPr>
          <w:p w14:paraId="643377FE">
            <w:pPr>
              <w:spacing w:line="288" w:lineRule="auto"/>
              <w:jc w:val="center"/>
              <w:rPr>
                <w:rFonts w:ascii="宋体" w:hAnsi="宋体"/>
                <w:color w:val="auto"/>
                <w:szCs w:val="21"/>
                <w:highlight w:val="none"/>
              </w:rPr>
            </w:pPr>
          </w:p>
        </w:tc>
        <w:tc>
          <w:tcPr>
            <w:tcW w:w="1165" w:type="dxa"/>
            <w:vAlign w:val="center"/>
          </w:tcPr>
          <w:p w14:paraId="6A72AF4D">
            <w:pPr>
              <w:spacing w:line="288" w:lineRule="auto"/>
              <w:jc w:val="center"/>
              <w:rPr>
                <w:rFonts w:ascii="宋体" w:hAnsi="宋体"/>
                <w:color w:val="auto"/>
                <w:szCs w:val="21"/>
                <w:highlight w:val="none"/>
              </w:rPr>
            </w:pPr>
          </w:p>
        </w:tc>
        <w:tc>
          <w:tcPr>
            <w:tcW w:w="703" w:type="dxa"/>
            <w:tcBorders>
              <w:right w:val="single" w:color="auto" w:sz="6" w:space="0"/>
            </w:tcBorders>
            <w:vAlign w:val="center"/>
          </w:tcPr>
          <w:p w14:paraId="20E57DD5">
            <w:pPr>
              <w:spacing w:line="288" w:lineRule="auto"/>
              <w:jc w:val="center"/>
              <w:rPr>
                <w:rFonts w:ascii="宋体" w:hAnsi="宋体"/>
                <w:color w:val="auto"/>
                <w:szCs w:val="21"/>
                <w:highlight w:val="none"/>
              </w:rPr>
            </w:pPr>
          </w:p>
        </w:tc>
      </w:tr>
      <w:tr w14:paraId="0992E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6E12A9A1">
            <w:pPr>
              <w:spacing w:line="288" w:lineRule="auto"/>
              <w:jc w:val="center"/>
              <w:rPr>
                <w:rFonts w:ascii="宋体" w:hAnsi="宋体"/>
                <w:color w:val="auto"/>
                <w:szCs w:val="21"/>
                <w:highlight w:val="none"/>
              </w:rPr>
            </w:pPr>
          </w:p>
        </w:tc>
        <w:tc>
          <w:tcPr>
            <w:tcW w:w="702" w:type="dxa"/>
            <w:vAlign w:val="center"/>
          </w:tcPr>
          <w:p w14:paraId="45795889">
            <w:pPr>
              <w:spacing w:line="288" w:lineRule="auto"/>
              <w:jc w:val="center"/>
              <w:rPr>
                <w:rFonts w:ascii="宋体" w:hAnsi="宋体"/>
                <w:color w:val="auto"/>
                <w:szCs w:val="21"/>
                <w:highlight w:val="none"/>
              </w:rPr>
            </w:pPr>
          </w:p>
        </w:tc>
        <w:tc>
          <w:tcPr>
            <w:tcW w:w="1861" w:type="dxa"/>
            <w:vAlign w:val="center"/>
          </w:tcPr>
          <w:p w14:paraId="3FDA81CA">
            <w:pPr>
              <w:spacing w:line="288" w:lineRule="auto"/>
              <w:jc w:val="center"/>
              <w:rPr>
                <w:rFonts w:ascii="宋体" w:hAnsi="宋体"/>
                <w:color w:val="auto"/>
                <w:szCs w:val="21"/>
                <w:highlight w:val="none"/>
              </w:rPr>
            </w:pPr>
          </w:p>
        </w:tc>
        <w:tc>
          <w:tcPr>
            <w:tcW w:w="702" w:type="dxa"/>
            <w:vAlign w:val="center"/>
          </w:tcPr>
          <w:p w14:paraId="2FF090FE">
            <w:pPr>
              <w:spacing w:line="288" w:lineRule="auto"/>
              <w:jc w:val="center"/>
              <w:rPr>
                <w:rFonts w:ascii="宋体" w:hAnsi="宋体"/>
                <w:color w:val="auto"/>
                <w:szCs w:val="21"/>
                <w:highlight w:val="none"/>
              </w:rPr>
            </w:pPr>
          </w:p>
        </w:tc>
        <w:tc>
          <w:tcPr>
            <w:tcW w:w="702" w:type="dxa"/>
            <w:vAlign w:val="center"/>
          </w:tcPr>
          <w:p w14:paraId="64AFE853">
            <w:pPr>
              <w:spacing w:line="288" w:lineRule="auto"/>
              <w:jc w:val="center"/>
              <w:rPr>
                <w:rFonts w:ascii="宋体" w:hAnsi="宋体"/>
                <w:color w:val="auto"/>
                <w:szCs w:val="21"/>
                <w:highlight w:val="none"/>
              </w:rPr>
            </w:pPr>
          </w:p>
        </w:tc>
        <w:tc>
          <w:tcPr>
            <w:tcW w:w="1164" w:type="dxa"/>
            <w:vAlign w:val="center"/>
          </w:tcPr>
          <w:p w14:paraId="1D597734">
            <w:pPr>
              <w:spacing w:line="288" w:lineRule="auto"/>
              <w:jc w:val="center"/>
              <w:rPr>
                <w:rFonts w:ascii="宋体" w:hAnsi="宋体"/>
                <w:color w:val="auto"/>
                <w:szCs w:val="21"/>
                <w:highlight w:val="none"/>
              </w:rPr>
            </w:pPr>
          </w:p>
        </w:tc>
        <w:tc>
          <w:tcPr>
            <w:tcW w:w="818" w:type="dxa"/>
            <w:vAlign w:val="center"/>
          </w:tcPr>
          <w:p w14:paraId="4ABA52B2">
            <w:pPr>
              <w:spacing w:line="288" w:lineRule="auto"/>
              <w:jc w:val="center"/>
              <w:rPr>
                <w:rFonts w:ascii="宋体" w:hAnsi="宋体"/>
                <w:color w:val="auto"/>
                <w:szCs w:val="21"/>
                <w:highlight w:val="none"/>
              </w:rPr>
            </w:pPr>
          </w:p>
        </w:tc>
        <w:tc>
          <w:tcPr>
            <w:tcW w:w="1165" w:type="dxa"/>
            <w:vAlign w:val="center"/>
          </w:tcPr>
          <w:p w14:paraId="0A24AF24">
            <w:pPr>
              <w:spacing w:line="288" w:lineRule="auto"/>
              <w:jc w:val="center"/>
              <w:rPr>
                <w:rFonts w:ascii="宋体" w:hAnsi="宋体"/>
                <w:color w:val="auto"/>
                <w:szCs w:val="21"/>
                <w:highlight w:val="none"/>
              </w:rPr>
            </w:pPr>
          </w:p>
        </w:tc>
        <w:tc>
          <w:tcPr>
            <w:tcW w:w="703" w:type="dxa"/>
            <w:tcBorders>
              <w:right w:val="single" w:color="auto" w:sz="6" w:space="0"/>
            </w:tcBorders>
            <w:vAlign w:val="center"/>
          </w:tcPr>
          <w:p w14:paraId="5CFCCD29">
            <w:pPr>
              <w:spacing w:line="288" w:lineRule="auto"/>
              <w:jc w:val="center"/>
              <w:rPr>
                <w:rFonts w:ascii="宋体" w:hAnsi="宋体"/>
                <w:color w:val="auto"/>
                <w:szCs w:val="21"/>
                <w:highlight w:val="none"/>
              </w:rPr>
            </w:pPr>
          </w:p>
        </w:tc>
      </w:tr>
      <w:tr w14:paraId="0631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4C6CB731">
            <w:pPr>
              <w:spacing w:line="288" w:lineRule="auto"/>
              <w:jc w:val="center"/>
              <w:rPr>
                <w:rFonts w:ascii="宋体" w:hAnsi="宋体"/>
                <w:color w:val="auto"/>
                <w:szCs w:val="21"/>
                <w:highlight w:val="none"/>
              </w:rPr>
            </w:pPr>
          </w:p>
        </w:tc>
        <w:tc>
          <w:tcPr>
            <w:tcW w:w="702" w:type="dxa"/>
            <w:vAlign w:val="center"/>
          </w:tcPr>
          <w:p w14:paraId="16AAA345">
            <w:pPr>
              <w:spacing w:line="288" w:lineRule="auto"/>
              <w:jc w:val="center"/>
              <w:rPr>
                <w:rFonts w:ascii="宋体" w:hAnsi="宋体"/>
                <w:color w:val="auto"/>
                <w:szCs w:val="21"/>
                <w:highlight w:val="none"/>
              </w:rPr>
            </w:pPr>
          </w:p>
        </w:tc>
        <w:tc>
          <w:tcPr>
            <w:tcW w:w="1861" w:type="dxa"/>
            <w:vAlign w:val="center"/>
          </w:tcPr>
          <w:p w14:paraId="1BCF634C">
            <w:pPr>
              <w:spacing w:line="288" w:lineRule="auto"/>
              <w:jc w:val="center"/>
              <w:rPr>
                <w:rFonts w:ascii="宋体" w:hAnsi="宋体"/>
                <w:color w:val="auto"/>
                <w:szCs w:val="21"/>
                <w:highlight w:val="none"/>
              </w:rPr>
            </w:pPr>
          </w:p>
        </w:tc>
        <w:tc>
          <w:tcPr>
            <w:tcW w:w="702" w:type="dxa"/>
            <w:vAlign w:val="center"/>
          </w:tcPr>
          <w:p w14:paraId="0C6F6224">
            <w:pPr>
              <w:spacing w:line="288" w:lineRule="auto"/>
              <w:jc w:val="center"/>
              <w:rPr>
                <w:rFonts w:ascii="宋体" w:hAnsi="宋体"/>
                <w:color w:val="auto"/>
                <w:szCs w:val="21"/>
                <w:highlight w:val="none"/>
              </w:rPr>
            </w:pPr>
          </w:p>
        </w:tc>
        <w:tc>
          <w:tcPr>
            <w:tcW w:w="702" w:type="dxa"/>
            <w:vAlign w:val="center"/>
          </w:tcPr>
          <w:p w14:paraId="12BE6707">
            <w:pPr>
              <w:spacing w:line="288" w:lineRule="auto"/>
              <w:jc w:val="center"/>
              <w:rPr>
                <w:rFonts w:ascii="宋体" w:hAnsi="宋体"/>
                <w:color w:val="auto"/>
                <w:szCs w:val="21"/>
                <w:highlight w:val="none"/>
              </w:rPr>
            </w:pPr>
          </w:p>
        </w:tc>
        <w:tc>
          <w:tcPr>
            <w:tcW w:w="1164" w:type="dxa"/>
            <w:vAlign w:val="center"/>
          </w:tcPr>
          <w:p w14:paraId="403C0494">
            <w:pPr>
              <w:spacing w:line="288" w:lineRule="auto"/>
              <w:jc w:val="center"/>
              <w:rPr>
                <w:rFonts w:ascii="宋体" w:hAnsi="宋体"/>
                <w:color w:val="auto"/>
                <w:szCs w:val="21"/>
                <w:highlight w:val="none"/>
              </w:rPr>
            </w:pPr>
          </w:p>
        </w:tc>
        <w:tc>
          <w:tcPr>
            <w:tcW w:w="818" w:type="dxa"/>
            <w:vAlign w:val="center"/>
          </w:tcPr>
          <w:p w14:paraId="118DC790">
            <w:pPr>
              <w:spacing w:line="288" w:lineRule="auto"/>
              <w:jc w:val="center"/>
              <w:rPr>
                <w:rFonts w:ascii="宋体" w:hAnsi="宋体"/>
                <w:color w:val="auto"/>
                <w:szCs w:val="21"/>
                <w:highlight w:val="none"/>
              </w:rPr>
            </w:pPr>
          </w:p>
        </w:tc>
        <w:tc>
          <w:tcPr>
            <w:tcW w:w="1165" w:type="dxa"/>
            <w:vAlign w:val="center"/>
          </w:tcPr>
          <w:p w14:paraId="0DD28419">
            <w:pPr>
              <w:spacing w:line="288" w:lineRule="auto"/>
              <w:jc w:val="center"/>
              <w:rPr>
                <w:rFonts w:ascii="宋体" w:hAnsi="宋体"/>
                <w:color w:val="auto"/>
                <w:szCs w:val="21"/>
                <w:highlight w:val="none"/>
              </w:rPr>
            </w:pPr>
          </w:p>
        </w:tc>
        <w:tc>
          <w:tcPr>
            <w:tcW w:w="703" w:type="dxa"/>
            <w:tcBorders>
              <w:right w:val="single" w:color="auto" w:sz="6" w:space="0"/>
            </w:tcBorders>
            <w:vAlign w:val="center"/>
          </w:tcPr>
          <w:p w14:paraId="16ED20D1">
            <w:pPr>
              <w:spacing w:line="288" w:lineRule="auto"/>
              <w:jc w:val="center"/>
              <w:rPr>
                <w:rFonts w:ascii="宋体" w:hAnsi="宋体"/>
                <w:color w:val="auto"/>
                <w:szCs w:val="21"/>
                <w:highlight w:val="none"/>
              </w:rPr>
            </w:pPr>
          </w:p>
        </w:tc>
      </w:tr>
      <w:tr w14:paraId="2FD8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vAlign w:val="center"/>
          </w:tcPr>
          <w:p w14:paraId="1C9A3EB4">
            <w:pPr>
              <w:spacing w:line="288" w:lineRule="auto"/>
              <w:jc w:val="center"/>
              <w:rPr>
                <w:rFonts w:ascii="宋体" w:hAnsi="宋体"/>
                <w:color w:val="auto"/>
                <w:szCs w:val="21"/>
                <w:highlight w:val="none"/>
              </w:rPr>
            </w:pPr>
          </w:p>
        </w:tc>
        <w:tc>
          <w:tcPr>
            <w:tcW w:w="702" w:type="dxa"/>
            <w:vAlign w:val="center"/>
          </w:tcPr>
          <w:p w14:paraId="65411CB7">
            <w:pPr>
              <w:spacing w:line="288" w:lineRule="auto"/>
              <w:jc w:val="center"/>
              <w:rPr>
                <w:rFonts w:ascii="宋体" w:hAnsi="宋体"/>
                <w:color w:val="auto"/>
                <w:szCs w:val="21"/>
                <w:highlight w:val="none"/>
              </w:rPr>
            </w:pPr>
          </w:p>
        </w:tc>
        <w:tc>
          <w:tcPr>
            <w:tcW w:w="1861" w:type="dxa"/>
            <w:vAlign w:val="center"/>
          </w:tcPr>
          <w:p w14:paraId="3C173A99">
            <w:pPr>
              <w:spacing w:line="288" w:lineRule="auto"/>
              <w:jc w:val="center"/>
              <w:rPr>
                <w:rFonts w:ascii="宋体" w:hAnsi="宋体"/>
                <w:color w:val="auto"/>
                <w:szCs w:val="21"/>
                <w:highlight w:val="none"/>
              </w:rPr>
            </w:pPr>
          </w:p>
        </w:tc>
        <w:tc>
          <w:tcPr>
            <w:tcW w:w="702" w:type="dxa"/>
            <w:vAlign w:val="center"/>
          </w:tcPr>
          <w:p w14:paraId="3EC3B1D3">
            <w:pPr>
              <w:spacing w:line="288" w:lineRule="auto"/>
              <w:jc w:val="center"/>
              <w:rPr>
                <w:rFonts w:ascii="宋体" w:hAnsi="宋体"/>
                <w:color w:val="auto"/>
                <w:szCs w:val="21"/>
                <w:highlight w:val="none"/>
              </w:rPr>
            </w:pPr>
          </w:p>
        </w:tc>
        <w:tc>
          <w:tcPr>
            <w:tcW w:w="702" w:type="dxa"/>
            <w:vAlign w:val="center"/>
          </w:tcPr>
          <w:p w14:paraId="44D21D9E">
            <w:pPr>
              <w:spacing w:line="288" w:lineRule="auto"/>
              <w:jc w:val="center"/>
              <w:rPr>
                <w:rFonts w:ascii="宋体" w:hAnsi="宋体"/>
                <w:color w:val="auto"/>
                <w:szCs w:val="21"/>
                <w:highlight w:val="none"/>
              </w:rPr>
            </w:pPr>
          </w:p>
        </w:tc>
        <w:tc>
          <w:tcPr>
            <w:tcW w:w="1164" w:type="dxa"/>
            <w:vAlign w:val="center"/>
          </w:tcPr>
          <w:p w14:paraId="039FB1F7">
            <w:pPr>
              <w:spacing w:line="288" w:lineRule="auto"/>
              <w:jc w:val="center"/>
              <w:rPr>
                <w:rFonts w:ascii="宋体" w:hAnsi="宋体"/>
                <w:color w:val="auto"/>
                <w:szCs w:val="21"/>
                <w:highlight w:val="none"/>
              </w:rPr>
            </w:pPr>
          </w:p>
        </w:tc>
        <w:tc>
          <w:tcPr>
            <w:tcW w:w="818" w:type="dxa"/>
            <w:vAlign w:val="center"/>
          </w:tcPr>
          <w:p w14:paraId="0F62B985">
            <w:pPr>
              <w:spacing w:line="288" w:lineRule="auto"/>
              <w:jc w:val="center"/>
              <w:rPr>
                <w:rFonts w:ascii="宋体" w:hAnsi="宋体"/>
                <w:color w:val="auto"/>
                <w:szCs w:val="21"/>
                <w:highlight w:val="none"/>
              </w:rPr>
            </w:pPr>
          </w:p>
        </w:tc>
        <w:tc>
          <w:tcPr>
            <w:tcW w:w="1165" w:type="dxa"/>
            <w:vAlign w:val="center"/>
          </w:tcPr>
          <w:p w14:paraId="783F7AA6">
            <w:pPr>
              <w:spacing w:line="288" w:lineRule="auto"/>
              <w:jc w:val="center"/>
              <w:rPr>
                <w:rFonts w:ascii="宋体" w:hAnsi="宋体"/>
                <w:color w:val="auto"/>
                <w:szCs w:val="21"/>
                <w:highlight w:val="none"/>
              </w:rPr>
            </w:pPr>
          </w:p>
        </w:tc>
        <w:tc>
          <w:tcPr>
            <w:tcW w:w="703" w:type="dxa"/>
            <w:tcBorders>
              <w:right w:val="single" w:color="auto" w:sz="6" w:space="0"/>
            </w:tcBorders>
            <w:vAlign w:val="center"/>
          </w:tcPr>
          <w:p w14:paraId="529298A3">
            <w:pPr>
              <w:spacing w:line="288" w:lineRule="auto"/>
              <w:jc w:val="center"/>
              <w:rPr>
                <w:rFonts w:ascii="宋体" w:hAnsi="宋体"/>
                <w:color w:val="auto"/>
                <w:szCs w:val="21"/>
                <w:highlight w:val="none"/>
              </w:rPr>
            </w:pPr>
          </w:p>
        </w:tc>
      </w:tr>
    </w:tbl>
    <w:p w14:paraId="6EB7AA7A">
      <w:pPr>
        <w:ind w:firstLine="178" w:firstLineChars="85"/>
        <w:rPr>
          <w:rFonts w:ascii="宋体" w:hAnsi="宋体"/>
          <w:color w:val="auto"/>
          <w:szCs w:val="21"/>
          <w:highlight w:val="none"/>
        </w:rPr>
      </w:pPr>
    </w:p>
    <w:p w14:paraId="7822C744">
      <w:pPr>
        <w:snapToGrid/>
        <w:ind w:firstLine="178" w:firstLineChars="85"/>
        <w:rPr>
          <w:rFonts w:ascii="宋体" w:hAnsi="宋体"/>
          <w:color w:val="auto"/>
          <w:szCs w:val="21"/>
          <w:highlight w:val="none"/>
        </w:rPr>
      </w:pPr>
      <w:r>
        <w:rPr>
          <w:rFonts w:hint="eastAsia" w:ascii="宋体" w:hAnsi="宋体"/>
          <w:color w:val="auto"/>
          <w:szCs w:val="21"/>
          <w:highlight w:val="none"/>
        </w:rPr>
        <w:t>附有关证明文件（复印件加盖公章）</w:t>
      </w:r>
    </w:p>
    <w:p w14:paraId="52ADF45B">
      <w:pPr>
        <w:snapToGrid/>
        <w:ind w:firstLine="178" w:firstLineChars="85"/>
        <w:rPr>
          <w:rFonts w:ascii="宋体" w:hAnsi="宋体"/>
          <w:color w:val="auto"/>
          <w:szCs w:val="21"/>
          <w:highlight w:val="none"/>
        </w:rPr>
      </w:pPr>
      <w:r>
        <w:rPr>
          <w:rFonts w:hint="eastAsia" w:ascii="宋体" w:hAnsi="宋体"/>
          <w:color w:val="auto"/>
          <w:szCs w:val="21"/>
          <w:highlight w:val="none"/>
        </w:rPr>
        <w:t>投标人代表签字：</w:t>
      </w:r>
    </w:p>
    <w:p w14:paraId="37B79557">
      <w:pPr>
        <w:snapToGrid/>
        <w:ind w:firstLine="178" w:firstLineChars="85"/>
        <w:rPr>
          <w:rFonts w:ascii="宋体" w:hAnsi="宋体"/>
          <w:color w:val="auto"/>
          <w:szCs w:val="21"/>
          <w:highlight w:val="none"/>
        </w:rPr>
      </w:pPr>
      <w:r>
        <w:rPr>
          <w:rFonts w:hint="eastAsia" w:ascii="宋体" w:hAnsi="宋体"/>
          <w:color w:val="auto"/>
          <w:szCs w:val="21"/>
          <w:highlight w:val="none"/>
        </w:rPr>
        <w:t>投标人盖章：</w:t>
      </w:r>
    </w:p>
    <w:p w14:paraId="63FDD327">
      <w:pPr>
        <w:snapToGrid/>
        <w:rPr>
          <w:rFonts w:ascii="宋体" w:hAnsi="宋体"/>
          <w:color w:val="auto"/>
          <w:szCs w:val="21"/>
          <w:highlight w:val="none"/>
        </w:rPr>
      </w:pPr>
      <w:r>
        <w:rPr>
          <w:rFonts w:hint="eastAsia" w:ascii="宋体" w:hAnsi="宋体"/>
          <w:color w:val="auto"/>
          <w:szCs w:val="21"/>
          <w:highlight w:val="none"/>
        </w:rPr>
        <w:t>注：</w:t>
      </w:r>
    </w:p>
    <w:p w14:paraId="46890A06">
      <w:pPr>
        <w:pStyle w:val="45"/>
        <w:numPr>
          <w:ilvl w:val="0"/>
          <w:numId w:val="11"/>
        </w:numPr>
        <w:snapToGrid/>
        <w:ind w:firstLineChars="0"/>
        <w:rPr>
          <w:rFonts w:ascii="宋体" w:hAnsi="宋体"/>
          <w:color w:val="auto"/>
          <w:szCs w:val="21"/>
          <w:highlight w:val="none"/>
        </w:rPr>
      </w:pPr>
      <w:r>
        <w:rPr>
          <w:rFonts w:hint="eastAsia" w:ascii="宋体" w:hAnsi="宋体"/>
          <w:color w:val="auto"/>
          <w:szCs w:val="21"/>
          <w:highlight w:val="none"/>
        </w:rPr>
        <w:t>投标人可按项目的实际需要提供本表格。</w:t>
      </w:r>
    </w:p>
    <w:p w14:paraId="70D9DF9B">
      <w:pPr>
        <w:pStyle w:val="45"/>
        <w:numPr>
          <w:ilvl w:val="0"/>
          <w:numId w:val="11"/>
        </w:numPr>
        <w:snapToGrid/>
        <w:ind w:firstLineChars="0"/>
        <w:rPr>
          <w:rFonts w:ascii="宋体" w:hAnsi="宋体" w:cs="Times New Roman"/>
          <w:color w:val="auto"/>
          <w:szCs w:val="21"/>
          <w:highlight w:val="none"/>
        </w:rPr>
      </w:pPr>
      <w:r>
        <w:rPr>
          <w:rFonts w:hint="eastAsia" w:ascii="宋体" w:hAnsi="宋体"/>
          <w:color w:val="auto"/>
          <w:szCs w:val="21"/>
          <w:highlight w:val="none"/>
        </w:rPr>
        <w:t>该表格为参考格式，投标人可按实际情况自行制订。</w:t>
      </w:r>
    </w:p>
    <w:p w14:paraId="593C9700">
      <w:pPr>
        <w:snapToGrid/>
        <w:rPr>
          <w:rFonts w:ascii="宋体" w:hAnsi="宋体" w:cs="Times New Roman"/>
          <w:color w:val="auto"/>
          <w:szCs w:val="21"/>
          <w:highlight w:val="none"/>
        </w:rPr>
      </w:pPr>
      <w:r>
        <w:rPr>
          <w:rFonts w:hint="eastAsia" w:ascii="宋体" w:hAnsi="宋体"/>
          <w:color w:val="auto"/>
          <w:szCs w:val="21"/>
          <w:highlight w:val="none"/>
        </w:rPr>
        <w:t>3、投标人若未提供或未填写完整则视为完全响应采购文件的人员要求，因此对投标人投标产生负面影响的，投标人自行承担后果。</w:t>
      </w:r>
    </w:p>
    <w:p w14:paraId="5FBFB796">
      <w:pPr>
        <w:pStyle w:val="45"/>
        <w:numPr>
          <w:ilvl w:val="0"/>
          <w:numId w:val="11"/>
        </w:numPr>
        <w:ind w:firstLineChars="0"/>
        <w:rPr>
          <w:rFonts w:ascii="宋体" w:hAnsi="宋体" w:cs="Times New Roman"/>
          <w:color w:val="auto"/>
          <w:szCs w:val="21"/>
          <w:highlight w:val="none"/>
        </w:rPr>
      </w:pPr>
      <w:r>
        <w:rPr>
          <w:rFonts w:hint="eastAsia" w:ascii="宋体" w:hAnsi="宋体"/>
          <w:color w:val="auto"/>
          <w:szCs w:val="21"/>
          <w:highlight w:val="none"/>
        </w:rPr>
        <w:br w:type="page"/>
      </w:r>
    </w:p>
    <w:p w14:paraId="4B58706C">
      <w:pPr>
        <w:pStyle w:val="8"/>
        <w:widowControl w:val="0"/>
        <w:overflowPunct w:val="0"/>
        <w:spacing w:line="240" w:lineRule="auto"/>
        <w:rPr>
          <w:color w:val="auto"/>
          <w:highlight w:val="none"/>
        </w:rPr>
      </w:pPr>
      <w:bookmarkStart w:id="251" w:name="_Toc15162"/>
      <w:bookmarkStart w:id="252" w:name="_Toc4161"/>
      <w:r>
        <w:rPr>
          <w:rFonts w:hint="eastAsia" w:ascii="宋体" w:hAnsi="宋体"/>
          <w:color w:val="auto"/>
          <w:sz w:val="21"/>
          <w:szCs w:val="21"/>
          <w:highlight w:val="none"/>
        </w:rPr>
        <w:t>附件1</w:t>
      </w:r>
      <w:r>
        <w:rPr>
          <w:rFonts w:hint="eastAsia" w:ascii="宋体" w:hAnsi="宋体"/>
          <w:color w:val="auto"/>
          <w:sz w:val="21"/>
          <w:szCs w:val="21"/>
          <w:highlight w:val="none"/>
          <w:lang w:val="en-US" w:eastAsia="zh-CN"/>
        </w:rPr>
        <w:t>8</w:t>
      </w:r>
      <w:r>
        <w:rPr>
          <w:rFonts w:hint="eastAsia" w:ascii="宋体" w:hAnsi="宋体"/>
          <w:color w:val="auto"/>
          <w:sz w:val="21"/>
          <w:szCs w:val="21"/>
          <w:highlight w:val="none"/>
        </w:rPr>
        <w:t>.投标保证金汇入情况说明格式</w:t>
      </w:r>
      <w:bookmarkEnd w:id="251"/>
      <w:bookmarkEnd w:id="252"/>
    </w:p>
    <w:p w14:paraId="09F3BC05">
      <w:pPr>
        <w:rPr>
          <w:color w:val="auto"/>
          <w:highlight w:val="none"/>
        </w:rPr>
      </w:pPr>
    </w:p>
    <w:p w14:paraId="5DB3F0CB">
      <w:pPr>
        <w:jc w:val="center"/>
        <w:rPr>
          <w:rFonts w:ascii="黑体" w:eastAsia="黑体"/>
          <w:color w:val="auto"/>
          <w:sz w:val="28"/>
          <w:szCs w:val="28"/>
          <w:highlight w:val="none"/>
        </w:rPr>
      </w:pPr>
      <w:r>
        <w:rPr>
          <w:rFonts w:hint="eastAsia" w:ascii="黑体" w:eastAsia="黑体"/>
          <w:color w:val="auto"/>
          <w:sz w:val="28"/>
          <w:szCs w:val="28"/>
          <w:highlight w:val="none"/>
        </w:rPr>
        <w:t>投标保证金汇入情况说明</w:t>
      </w:r>
    </w:p>
    <w:p w14:paraId="48B98216">
      <w:pPr>
        <w:spacing w:line="480" w:lineRule="auto"/>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lang w:eastAsia="zh-CN"/>
        </w:rPr>
        <w:t>广州宏达工程顾问集团有限公司</w:t>
      </w:r>
    </w:p>
    <w:p w14:paraId="59E94A53">
      <w:pPr>
        <w:wordWrap w:val="0"/>
        <w:spacing w:line="480" w:lineRule="auto"/>
        <w:ind w:firstLine="420" w:firstLineChars="200"/>
        <w:rPr>
          <w:rFonts w:ascii="宋体" w:hAnsi="宋体"/>
          <w:color w:val="auto"/>
          <w:szCs w:val="21"/>
          <w:highlight w:val="none"/>
        </w:rPr>
      </w:pPr>
      <w:r>
        <w:rPr>
          <w:rFonts w:hint="eastAsia" w:ascii="宋体" w:hAnsi="宋体"/>
          <w:color w:val="auto"/>
          <w:szCs w:val="21"/>
          <w:highlight w:val="none"/>
        </w:rPr>
        <w:t>本单位已按</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项目（采购项目编号：</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）的采购文件要求，于</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日前以</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（付款形式）      </w:t>
      </w:r>
      <w:r>
        <w:rPr>
          <w:rFonts w:hint="eastAsia" w:ascii="宋体" w:hAnsi="宋体"/>
          <w:color w:val="auto"/>
          <w:szCs w:val="21"/>
          <w:highlight w:val="none"/>
        </w:rPr>
        <w:t>方式汇入指定</w:t>
      </w:r>
      <w:r>
        <w:rPr>
          <w:rFonts w:hint="eastAsia" w:ascii="宋体" w:hAnsi="宋体"/>
          <w:color w:val="auto"/>
          <w:szCs w:val="21"/>
          <w:highlight w:val="none"/>
          <w:lang w:eastAsia="zh-CN"/>
        </w:rPr>
        <w:t>账</w:t>
      </w:r>
      <w:r>
        <w:rPr>
          <w:rFonts w:hint="eastAsia" w:ascii="宋体" w:hAnsi="宋体"/>
          <w:color w:val="auto"/>
          <w:szCs w:val="21"/>
          <w:highlight w:val="none"/>
        </w:rPr>
        <w:t>户（</w:t>
      </w:r>
      <w:r>
        <w:rPr>
          <w:rFonts w:hint="eastAsia" w:ascii="宋体" w:hAnsi="宋体"/>
          <w:color w:val="auto"/>
          <w:szCs w:val="21"/>
          <w:highlight w:val="none"/>
          <w:lang w:eastAsia="zh-CN"/>
        </w:rPr>
        <w:t>账</w:t>
      </w:r>
      <w:r>
        <w:rPr>
          <w:rFonts w:hint="eastAsia" w:ascii="宋体" w:hAnsi="宋体"/>
          <w:color w:val="auto"/>
          <w:szCs w:val="21"/>
          <w:highlight w:val="none"/>
        </w:rPr>
        <w:t>户名称：</w:t>
      </w:r>
      <w:r>
        <w:rPr>
          <w:rFonts w:hint="eastAsia" w:ascii="宋体" w:hAnsi="宋体"/>
          <w:color w:val="auto"/>
          <w:szCs w:val="21"/>
          <w:highlight w:val="none"/>
          <w:u w:val="single"/>
        </w:rPr>
        <w:t xml:space="preserve">       </w:t>
      </w:r>
      <w:r>
        <w:rPr>
          <w:rFonts w:hint="eastAsia" w:ascii="宋体" w:hAnsi="宋体"/>
          <w:color w:val="auto"/>
          <w:szCs w:val="21"/>
          <w:highlight w:val="none"/>
        </w:rPr>
        <w:t>，</w:t>
      </w:r>
      <w:r>
        <w:rPr>
          <w:rFonts w:hint="eastAsia" w:ascii="宋体" w:hAnsi="宋体"/>
          <w:color w:val="auto"/>
          <w:szCs w:val="21"/>
          <w:highlight w:val="none"/>
          <w:lang w:eastAsia="zh-CN"/>
        </w:rPr>
        <w:t>账</w:t>
      </w:r>
      <w:r>
        <w:rPr>
          <w:rFonts w:hint="eastAsia" w:ascii="宋体" w:hAnsi="宋体"/>
          <w:color w:val="auto"/>
          <w:szCs w:val="21"/>
          <w:highlight w:val="none"/>
        </w:rPr>
        <w:t>号：</w:t>
      </w:r>
      <w:r>
        <w:rPr>
          <w:rFonts w:hint="eastAsia" w:ascii="宋体" w:hAnsi="宋体"/>
          <w:color w:val="auto"/>
          <w:szCs w:val="21"/>
          <w:highlight w:val="none"/>
          <w:u w:val="single"/>
        </w:rPr>
        <w:t xml:space="preserve">       </w:t>
      </w:r>
      <w:r>
        <w:rPr>
          <w:rFonts w:hint="eastAsia" w:ascii="宋体" w:hAnsi="宋体"/>
          <w:color w:val="auto"/>
          <w:szCs w:val="21"/>
          <w:highlight w:val="none"/>
        </w:rPr>
        <w:t>,开户银行：</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04FC94C">
      <w:pPr>
        <w:spacing w:line="480" w:lineRule="auto"/>
        <w:ind w:firstLine="420" w:firstLineChars="200"/>
        <w:rPr>
          <w:rFonts w:ascii="宋体" w:hAnsi="宋体"/>
          <w:color w:val="auto"/>
          <w:szCs w:val="21"/>
          <w:highlight w:val="none"/>
        </w:rPr>
      </w:pPr>
      <w:r>
        <w:rPr>
          <w:rFonts w:hint="eastAsia" w:ascii="宋体" w:hAnsi="宋体"/>
          <w:color w:val="auto"/>
          <w:szCs w:val="21"/>
          <w:highlight w:val="none"/>
        </w:rPr>
        <w:t>本单位投标保证金的汇款情况：（详见附件－投标保证金进</w:t>
      </w:r>
      <w:r>
        <w:rPr>
          <w:rFonts w:hint="eastAsia" w:ascii="宋体" w:hAnsi="宋体"/>
          <w:color w:val="auto"/>
          <w:szCs w:val="21"/>
          <w:highlight w:val="none"/>
          <w:lang w:eastAsia="zh-CN"/>
        </w:rPr>
        <w:t>账</w:t>
      </w:r>
      <w:r>
        <w:rPr>
          <w:rFonts w:hint="eastAsia" w:ascii="宋体" w:hAnsi="宋体"/>
          <w:color w:val="auto"/>
          <w:szCs w:val="21"/>
          <w:highlight w:val="none"/>
        </w:rPr>
        <w:t>单）</w:t>
      </w:r>
    </w:p>
    <w:p w14:paraId="12C50BED">
      <w:pPr>
        <w:spacing w:line="480" w:lineRule="auto"/>
        <w:ind w:firstLine="420" w:firstLineChars="200"/>
        <w:rPr>
          <w:rFonts w:ascii="宋体" w:hAnsi="宋体"/>
          <w:color w:val="auto"/>
          <w:szCs w:val="21"/>
          <w:highlight w:val="none"/>
        </w:rPr>
      </w:pPr>
      <w:r>
        <w:rPr>
          <w:rFonts w:hint="eastAsia" w:ascii="宋体" w:hAnsi="宋体"/>
          <w:color w:val="auto"/>
          <w:szCs w:val="21"/>
          <w:highlight w:val="none"/>
        </w:rPr>
        <w:t>汇出时间：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6F53EBAA">
      <w:pPr>
        <w:spacing w:line="480" w:lineRule="auto"/>
        <w:ind w:firstLine="420" w:firstLineChars="200"/>
        <w:rPr>
          <w:rFonts w:ascii="宋体" w:hAnsi="宋体"/>
          <w:color w:val="auto"/>
          <w:szCs w:val="21"/>
          <w:highlight w:val="none"/>
        </w:rPr>
      </w:pPr>
      <w:r>
        <w:rPr>
          <w:rFonts w:hint="eastAsia" w:ascii="宋体" w:hAnsi="宋体"/>
          <w:color w:val="auto"/>
          <w:szCs w:val="21"/>
          <w:highlight w:val="none"/>
        </w:rPr>
        <w:t>汇款金额：（大写）人民币</w:t>
      </w:r>
      <w:r>
        <w:rPr>
          <w:rFonts w:hint="eastAsia" w:ascii="宋体" w:hAnsi="宋体"/>
          <w:color w:val="auto"/>
          <w:szCs w:val="21"/>
          <w:highlight w:val="none"/>
          <w:u w:val="single"/>
        </w:rPr>
        <w:t xml:space="preserve">       </w:t>
      </w:r>
      <w:r>
        <w:rPr>
          <w:rFonts w:hint="eastAsia" w:ascii="宋体" w:hAnsi="宋体"/>
          <w:color w:val="auto"/>
          <w:szCs w:val="21"/>
          <w:highlight w:val="none"/>
        </w:rPr>
        <w:t>元（小写：</w:t>
      </w:r>
      <w:r>
        <w:rPr>
          <w:rFonts w:hint="eastAsia" w:ascii="宋体" w:hAnsi="宋体"/>
          <w:color w:val="auto"/>
          <w:szCs w:val="21"/>
          <w:highlight w:val="none"/>
          <w:lang w:eastAsia="zh-CN"/>
        </w:rPr>
        <w:t>¥</w:t>
      </w:r>
      <w:r>
        <w:rPr>
          <w:rFonts w:hint="eastAsia" w:ascii="宋体" w:hAnsi="宋体"/>
          <w:color w:val="auto"/>
          <w:szCs w:val="21"/>
          <w:highlight w:val="none"/>
          <w:u w:val="single"/>
        </w:rPr>
        <w:t xml:space="preserve">       </w:t>
      </w:r>
      <w:r>
        <w:rPr>
          <w:rFonts w:hint="eastAsia" w:ascii="宋体" w:hAnsi="宋体"/>
          <w:color w:val="auto"/>
          <w:szCs w:val="21"/>
          <w:highlight w:val="none"/>
        </w:rPr>
        <w:t>元），</w:t>
      </w:r>
    </w:p>
    <w:p w14:paraId="49493EBE">
      <w:pPr>
        <w:spacing w:line="480" w:lineRule="auto"/>
        <w:ind w:firstLine="420" w:firstLineChars="200"/>
        <w:rPr>
          <w:rFonts w:ascii="宋体" w:hAnsi="宋体"/>
          <w:color w:val="auto"/>
          <w:szCs w:val="21"/>
          <w:highlight w:val="none"/>
        </w:rPr>
      </w:pPr>
      <w:r>
        <w:rPr>
          <w:rFonts w:hint="eastAsia" w:ascii="宋体" w:hAnsi="宋体"/>
          <w:color w:val="auto"/>
          <w:szCs w:val="21"/>
          <w:highlight w:val="none"/>
        </w:rPr>
        <w:t>汇款</w:t>
      </w:r>
      <w:r>
        <w:rPr>
          <w:rFonts w:hint="eastAsia" w:ascii="宋体" w:hAnsi="宋体"/>
          <w:color w:val="auto"/>
          <w:szCs w:val="21"/>
          <w:highlight w:val="none"/>
          <w:lang w:eastAsia="zh-CN"/>
        </w:rPr>
        <w:t>账</w:t>
      </w:r>
      <w:r>
        <w:rPr>
          <w:rFonts w:hint="eastAsia" w:ascii="宋体" w:hAnsi="宋体"/>
          <w:color w:val="auto"/>
          <w:szCs w:val="21"/>
          <w:highlight w:val="none"/>
        </w:rPr>
        <w:t>户名称：</w:t>
      </w:r>
      <w:r>
        <w:rPr>
          <w:rFonts w:hint="eastAsia" w:ascii="宋体" w:hAnsi="宋体"/>
          <w:color w:val="auto"/>
          <w:szCs w:val="21"/>
          <w:highlight w:val="none"/>
          <w:u w:val="single"/>
        </w:rPr>
        <w:t xml:space="preserve">  （必须是投标时使用的</w:t>
      </w:r>
      <w:r>
        <w:rPr>
          <w:rFonts w:hint="eastAsia" w:ascii="宋体" w:hAnsi="宋体"/>
          <w:color w:val="auto"/>
          <w:szCs w:val="21"/>
          <w:highlight w:val="none"/>
          <w:u w:val="single"/>
          <w:lang w:eastAsia="zh-CN"/>
        </w:rPr>
        <w:t>账</w:t>
      </w:r>
      <w:r>
        <w:rPr>
          <w:rFonts w:hint="eastAsia" w:ascii="宋体" w:hAnsi="宋体"/>
          <w:color w:val="auto"/>
          <w:szCs w:val="21"/>
          <w:highlight w:val="none"/>
          <w:u w:val="single"/>
        </w:rPr>
        <w:t xml:space="preserve">户名）   </w:t>
      </w:r>
    </w:p>
    <w:p w14:paraId="5D7E013F">
      <w:pPr>
        <w:spacing w:line="480" w:lineRule="auto"/>
        <w:ind w:firstLine="420" w:firstLineChars="200"/>
        <w:rPr>
          <w:rFonts w:ascii="宋体" w:hAnsi="宋体"/>
          <w:color w:val="auto"/>
          <w:szCs w:val="21"/>
          <w:highlight w:val="none"/>
        </w:rPr>
      </w:pPr>
      <w:r>
        <w:rPr>
          <w:rFonts w:hint="eastAsia" w:ascii="宋体" w:hAnsi="宋体"/>
          <w:color w:val="auto"/>
          <w:szCs w:val="21"/>
          <w:highlight w:val="none"/>
          <w:lang w:eastAsia="zh-CN"/>
        </w:rPr>
        <w:t>账</w:t>
      </w:r>
      <w:r>
        <w:rPr>
          <w:rFonts w:hint="eastAsia" w:ascii="宋体" w:hAnsi="宋体"/>
          <w:color w:val="auto"/>
          <w:szCs w:val="21"/>
          <w:highlight w:val="none"/>
        </w:rPr>
        <w:t xml:space="preserve">       号：</w:t>
      </w:r>
      <w:r>
        <w:rPr>
          <w:rFonts w:hint="eastAsia" w:ascii="宋体" w:hAnsi="宋体"/>
          <w:color w:val="auto"/>
          <w:szCs w:val="21"/>
          <w:highlight w:val="none"/>
          <w:u w:val="single"/>
        </w:rPr>
        <w:t xml:space="preserve">  （必须是投标时使用的</w:t>
      </w:r>
      <w:r>
        <w:rPr>
          <w:rFonts w:hint="eastAsia" w:ascii="宋体" w:hAnsi="宋体"/>
          <w:color w:val="auto"/>
          <w:szCs w:val="21"/>
          <w:highlight w:val="none"/>
          <w:u w:val="single"/>
          <w:lang w:eastAsia="zh-CN"/>
        </w:rPr>
        <w:t>账</w:t>
      </w:r>
      <w:r>
        <w:rPr>
          <w:rFonts w:hint="eastAsia" w:ascii="宋体" w:hAnsi="宋体"/>
          <w:color w:val="auto"/>
          <w:szCs w:val="21"/>
          <w:highlight w:val="none"/>
          <w:u w:val="single"/>
        </w:rPr>
        <w:t xml:space="preserve">号）        </w:t>
      </w:r>
    </w:p>
    <w:p w14:paraId="74F4121B">
      <w:pPr>
        <w:spacing w:line="480" w:lineRule="auto"/>
        <w:ind w:firstLine="420" w:firstLineChars="200"/>
        <w:rPr>
          <w:rFonts w:ascii="宋体" w:hAnsi="宋体"/>
          <w:color w:val="auto"/>
          <w:szCs w:val="21"/>
          <w:highlight w:val="none"/>
          <w:u w:val="single"/>
        </w:rPr>
      </w:pPr>
      <w:r>
        <w:rPr>
          <w:rFonts w:hint="eastAsia" w:ascii="宋体" w:hAnsi="宋体"/>
          <w:color w:val="auto"/>
          <w:szCs w:val="21"/>
          <w:highlight w:val="none"/>
        </w:rPr>
        <w:t>开 户 银 行：</w:t>
      </w:r>
      <w:r>
        <w:rPr>
          <w:rFonts w:hint="eastAsia" w:ascii="宋体" w:hAnsi="宋体"/>
          <w:color w:val="auto"/>
          <w:szCs w:val="21"/>
          <w:highlight w:val="none"/>
          <w:u w:val="single"/>
        </w:rPr>
        <w:t xml:space="preserve">  （  XX 银行 XX 分行 XX 支行   ）</w:t>
      </w:r>
    </w:p>
    <w:p w14:paraId="7E45863C">
      <w:pPr>
        <w:spacing w:line="480" w:lineRule="auto"/>
        <w:ind w:firstLine="420" w:firstLineChars="200"/>
        <w:rPr>
          <w:rFonts w:ascii="宋体" w:hAnsi="宋体"/>
          <w:color w:val="auto"/>
          <w:szCs w:val="21"/>
          <w:highlight w:val="none"/>
        </w:rPr>
      </w:pPr>
      <w:r>
        <w:rPr>
          <w:rFonts w:hint="eastAsia" w:ascii="宋体" w:hAnsi="宋体"/>
          <w:color w:val="auto"/>
          <w:szCs w:val="21"/>
          <w:highlight w:val="none"/>
        </w:rPr>
        <w:t>本单位谨承诺上述资料是正确、真实的，如因上述证明与事实不符导致的一切损失，本单位保证承担赔偿等一切法律责任。</w:t>
      </w:r>
    </w:p>
    <w:p w14:paraId="7BE0C6C2">
      <w:pPr>
        <w:spacing w:line="480" w:lineRule="auto"/>
        <w:ind w:firstLine="420" w:firstLineChars="200"/>
        <w:rPr>
          <w:rFonts w:ascii="宋体" w:hAnsi="宋体"/>
          <w:color w:val="auto"/>
          <w:szCs w:val="21"/>
          <w:highlight w:val="none"/>
        </w:rPr>
      </w:pPr>
      <w:r>
        <w:rPr>
          <w:rFonts w:hint="eastAsia" w:ascii="宋体" w:hAnsi="宋体"/>
          <w:color w:val="auto"/>
          <w:szCs w:val="21"/>
          <w:highlight w:val="none"/>
        </w:rPr>
        <w:t>投标保证金退回时，请按上述资料退回。</w:t>
      </w:r>
    </w:p>
    <w:p w14:paraId="63F1F4BB">
      <w:pPr>
        <w:spacing w:line="480" w:lineRule="auto"/>
        <w:ind w:right="844" w:rightChars="402"/>
        <w:jc w:val="right"/>
        <w:rPr>
          <w:rFonts w:ascii="宋体" w:hAnsi="宋体"/>
          <w:color w:val="auto"/>
          <w:szCs w:val="21"/>
          <w:highlight w:val="none"/>
        </w:rPr>
      </w:pPr>
      <w:r>
        <w:rPr>
          <w:rFonts w:hint="eastAsia" w:ascii="宋体" w:hAnsi="宋体"/>
          <w:color w:val="auto"/>
          <w:szCs w:val="21"/>
          <w:highlight w:val="none"/>
        </w:rPr>
        <w:t>（单位公章）</w:t>
      </w:r>
    </w:p>
    <w:p w14:paraId="4B1AB851">
      <w:pPr>
        <w:spacing w:line="480" w:lineRule="auto"/>
        <w:ind w:right="628" w:rightChars="299"/>
        <w:jc w:val="right"/>
        <w:rPr>
          <w:rFonts w:ascii="宋体" w:hAnsi="宋体"/>
          <w:color w:val="auto"/>
          <w:szCs w:val="21"/>
          <w:highlight w:val="none"/>
        </w:rPr>
      </w:pPr>
      <w:r>
        <w:rPr>
          <w:rFonts w:hint="eastAsia" w:ascii="宋体" w:hAnsi="宋体"/>
          <w:color w:val="auto"/>
          <w:szCs w:val="21"/>
          <w:highlight w:val="none"/>
        </w:rPr>
        <w:t>年 月 日</w:t>
      </w:r>
    </w:p>
    <w:p w14:paraId="3C365FEC">
      <w:pPr>
        <w:spacing w:line="480" w:lineRule="auto"/>
        <w:rPr>
          <w:rFonts w:ascii="宋体" w:hAnsi="宋体"/>
          <w:color w:val="auto"/>
          <w:szCs w:val="21"/>
          <w:highlight w:val="none"/>
        </w:rPr>
      </w:pPr>
      <w:r>
        <w:rPr>
          <w:rFonts w:hint="eastAsia" w:ascii="宋体" w:hAnsi="宋体"/>
          <w:color w:val="auto"/>
          <w:szCs w:val="21"/>
          <w:highlight w:val="none"/>
        </w:rPr>
        <w:t>单位名称：</w:t>
      </w:r>
    </w:p>
    <w:p w14:paraId="3305B59B">
      <w:pPr>
        <w:spacing w:line="480" w:lineRule="auto"/>
        <w:rPr>
          <w:rFonts w:ascii="宋体" w:hAnsi="宋体"/>
          <w:color w:val="auto"/>
          <w:szCs w:val="21"/>
          <w:highlight w:val="none"/>
        </w:rPr>
      </w:pPr>
      <w:r>
        <w:rPr>
          <w:rFonts w:hint="eastAsia" w:ascii="宋体" w:hAnsi="宋体"/>
          <w:color w:val="auto"/>
          <w:szCs w:val="21"/>
          <w:highlight w:val="none"/>
        </w:rPr>
        <w:t>单位地址：</w:t>
      </w:r>
    </w:p>
    <w:p w14:paraId="775C5B66">
      <w:pPr>
        <w:spacing w:line="480" w:lineRule="auto"/>
        <w:rPr>
          <w:rFonts w:ascii="宋体" w:hAnsi="宋体"/>
          <w:color w:val="auto"/>
          <w:szCs w:val="21"/>
          <w:highlight w:val="none"/>
        </w:rPr>
      </w:pPr>
      <w:r>
        <w:rPr>
          <w:rFonts w:hint="eastAsia" w:ascii="宋体" w:hAnsi="宋体"/>
          <w:color w:val="auto"/>
          <w:szCs w:val="21"/>
          <w:highlight w:val="none"/>
        </w:rPr>
        <w:t>联系人：</w:t>
      </w:r>
    </w:p>
    <w:p w14:paraId="2EE82DA8">
      <w:pPr>
        <w:spacing w:line="480" w:lineRule="auto"/>
        <w:rPr>
          <w:rFonts w:hint="eastAsia" w:ascii="宋体" w:hAnsi="宋体"/>
          <w:color w:val="auto"/>
          <w:szCs w:val="21"/>
          <w:highlight w:val="none"/>
        </w:rPr>
      </w:pPr>
      <w:r>
        <w:rPr>
          <w:rFonts w:hint="eastAsia" w:ascii="宋体" w:hAnsi="宋体"/>
          <w:color w:val="auto"/>
          <w:szCs w:val="21"/>
          <w:highlight w:val="none"/>
        </w:rPr>
        <w:t>单位电话：</w:t>
      </w:r>
    </w:p>
    <w:p w14:paraId="445A6E12">
      <w:pPr>
        <w:spacing w:line="480" w:lineRule="auto"/>
        <w:rPr>
          <w:rFonts w:ascii="宋体" w:hAnsi="宋体"/>
          <w:color w:val="auto"/>
          <w:szCs w:val="21"/>
          <w:highlight w:val="none"/>
        </w:rPr>
      </w:pPr>
      <w:r>
        <w:rPr>
          <w:rFonts w:hint="eastAsia" w:ascii="宋体" w:hAnsi="宋体"/>
          <w:color w:val="auto"/>
          <w:szCs w:val="21"/>
          <w:highlight w:val="none"/>
        </w:rPr>
        <w:t>联系人手机：</w:t>
      </w:r>
    </w:p>
    <w:p w14:paraId="79322CCD">
      <w:pPr>
        <w:rPr>
          <w:rFonts w:ascii="宋体" w:hAnsi="宋体"/>
          <w:color w:val="auto"/>
          <w:szCs w:val="21"/>
          <w:highlight w:val="none"/>
        </w:rPr>
      </w:pPr>
    </w:p>
    <w:p w14:paraId="7A3278A4">
      <w:pPr>
        <w:spacing w:line="380" w:lineRule="exact"/>
        <w:ind w:firstLine="420" w:firstLineChars="200"/>
        <w:rPr>
          <w:rFonts w:ascii="宋体" w:hAnsi="宋体"/>
          <w:color w:val="auto"/>
          <w:szCs w:val="21"/>
          <w:highlight w:val="none"/>
        </w:rPr>
      </w:pPr>
      <w:r>
        <w:rPr>
          <w:rFonts w:hint="eastAsia" w:ascii="宋体" w:hAnsi="宋体"/>
          <w:color w:val="auto"/>
          <w:szCs w:val="21"/>
          <w:highlight w:val="none"/>
        </w:rPr>
        <w:br w:type="page"/>
      </w:r>
    </w:p>
    <w:p w14:paraId="30A389C6">
      <w:pPr>
        <w:spacing w:line="380" w:lineRule="exact"/>
        <w:ind w:firstLine="420" w:firstLineChars="200"/>
        <w:rPr>
          <w:rFonts w:ascii="宋体" w:hAnsi="宋体"/>
          <w:color w:val="auto"/>
          <w:szCs w:val="21"/>
          <w:highlight w:val="none"/>
        </w:rPr>
      </w:pPr>
      <w:r>
        <w:rPr>
          <w:rFonts w:hint="eastAsia" w:ascii="宋体" w:hAnsi="宋体"/>
          <w:color w:val="auto"/>
          <w:szCs w:val="21"/>
          <w:highlight w:val="none"/>
        </w:rPr>
        <w:t>附：我方投标保证金汇款凭证</w:t>
      </w:r>
    </w:p>
    <w:tbl>
      <w:tblPr>
        <w:tblStyle w:val="32"/>
        <w:tblW w:w="89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3"/>
      </w:tblGrid>
      <w:tr w14:paraId="7815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7" w:hRule="atLeast"/>
          <w:jc w:val="center"/>
        </w:trPr>
        <w:tc>
          <w:tcPr>
            <w:tcW w:w="8953" w:type="dxa"/>
            <w:vAlign w:val="center"/>
          </w:tcPr>
          <w:p w14:paraId="2CC656E5">
            <w:pPr>
              <w:tabs>
                <w:tab w:val="left" w:pos="3885"/>
              </w:tabs>
              <w:jc w:val="center"/>
              <w:rPr>
                <w:rFonts w:ascii="宋体" w:hAnsi="宋体"/>
                <w:color w:val="auto"/>
                <w:szCs w:val="21"/>
                <w:highlight w:val="none"/>
              </w:rPr>
            </w:pPr>
            <w:r>
              <w:rPr>
                <w:rFonts w:hint="eastAsia" w:ascii="宋体" w:hAnsi="宋体"/>
                <w:color w:val="auto"/>
                <w:szCs w:val="21"/>
                <w:highlight w:val="none"/>
              </w:rPr>
              <w:t>（粘贴汇款单或转账</w:t>
            </w:r>
            <w:r>
              <w:rPr>
                <w:rFonts w:ascii="宋体" w:hAnsi="宋体"/>
                <w:color w:val="auto"/>
                <w:szCs w:val="21"/>
                <w:highlight w:val="none"/>
              </w:rPr>
              <w:t>凭证</w:t>
            </w:r>
            <w:r>
              <w:rPr>
                <w:rFonts w:hint="eastAsia" w:ascii="宋体" w:hAnsi="宋体"/>
                <w:color w:val="auto"/>
                <w:szCs w:val="21"/>
                <w:highlight w:val="none"/>
              </w:rPr>
              <w:t>复印件，并在骑缝上加盖投标人公章，或是直接把转账</w:t>
            </w:r>
            <w:r>
              <w:rPr>
                <w:rFonts w:ascii="宋体" w:hAnsi="宋体"/>
                <w:color w:val="auto"/>
                <w:szCs w:val="21"/>
                <w:highlight w:val="none"/>
              </w:rPr>
              <w:t>凭证</w:t>
            </w:r>
            <w:r>
              <w:rPr>
                <w:rFonts w:hint="eastAsia" w:ascii="宋体" w:hAnsi="宋体"/>
                <w:color w:val="auto"/>
                <w:szCs w:val="21"/>
                <w:highlight w:val="none"/>
              </w:rPr>
              <w:t>复印到此张纸上）</w:t>
            </w:r>
          </w:p>
        </w:tc>
      </w:tr>
    </w:tbl>
    <w:p w14:paraId="4981EEFD">
      <w:pPr>
        <w:snapToGrid/>
        <w:spacing w:before="181"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注：此表既要装订在投标文件中，又要按投标人须知的规定与开标一览表、投标保证金汇款底单复印件及授权委托书一同密封装入唱标信封，唱标信封单独提交。</w:t>
      </w:r>
    </w:p>
    <w:p w14:paraId="082EFFCE">
      <w:pPr>
        <w:rPr>
          <w:rFonts w:ascii="宋体" w:hAnsi="宋体"/>
          <w:color w:val="auto"/>
          <w:szCs w:val="21"/>
          <w:highlight w:val="none"/>
        </w:rPr>
      </w:pPr>
    </w:p>
    <w:p w14:paraId="11403EBF">
      <w:pPr>
        <w:rPr>
          <w:rFonts w:ascii="宋体" w:hAnsi="宋体"/>
          <w:color w:val="auto"/>
          <w:szCs w:val="21"/>
          <w:highlight w:val="none"/>
        </w:rPr>
      </w:pPr>
    </w:p>
    <w:p w14:paraId="6099FE63">
      <w:pPr>
        <w:rPr>
          <w:rFonts w:ascii="宋体" w:hAnsi="宋体"/>
          <w:color w:val="auto"/>
          <w:szCs w:val="21"/>
          <w:highlight w:val="none"/>
        </w:rPr>
      </w:pPr>
      <w:r>
        <w:rPr>
          <w:rFonts w:ascii="宋体" w:hAnsi="宋体"/>
          <w:color w:val="auto"/>
          <w:szCs w:val="21"/>
          <w:highlight w:val="none"/>
        </w:rPr>
        <w:br w:type="page"/>
      </w:r>
    </w:p>
    <w:p w14:paraId="123306F3">
      <w:pPr>
        <w:pStyle w:val="8"/>
        <w:numPr>
          <w:ilvl w:val="255"/>
          <w:numId w:val="0"/>
        </w:numPr>
        <w:tabs>
          <w:tab w:val="left" w:pos="720"/>
          <w:tab w:val="left" w:pos="3840"/>
        </w:tabs>
        <w:ind w:left="283"/>
        <w:jc w:val="both"/>
        <w:rPr>
          <w:rFonts w:ascii="宋体" w:hAnsi="宋体"/>
          <w:color w:val="auto"/>
          <w:sz w:val="21"/>
          <w:szCs w:val="21"/>
          <w:highlight w:val="none"/>
        </w:rPr>
      </w:pPr>
      <w:bookmarkStart w:id="253" w:name="_Toc2144"/>
      <w:bookmarkStart w:id="254" w:name="_Toc17028"/>
      <w:bookmarkStart w:id="255" w:name="_Toc19947"/>
      <w:bookmarkStart w:id="256" w:name="_Toc18296"/>
      <w:bookmarkStart w:id="257" w:name="_Toc4866"/>
      <w:bookmarkStart w:id="258" w:name="_Toc2801"/>
      <w:bookmarkStart w:id="259" w:name="_Toc29855"/>
      <w:bookmarkStart w:id="260" w:name="_Toc14605"/>
      <w:bookmarkStart w:id="261" w:name="_Toc28623"/>
      <w:bookmarkStart w:id="262" w:name="_Toc1562"/>
      <w:bookmarkStart w:id="263" w:name="_Toc25861"/>
      <w:bookmarkStart w:id="264" w:name="_Toc22460"/>
      <w:r>
        <w:rPr>
          <w:rFonts w:hint="eastAsia" w:ascii="宋体" w:hAnsi="宋体"/>
          <w:color w:val="auto"/>
          <w:sz w:val="21"/>
          <w:szCs w:val="21"/>
          <w:highlight w:val="none"/>
        </w:rPr>
        <w:t>附件1</w:t>
      </w:r>
      <w:r>
        <w:rPr>
          <w:rFonts w:hint="eastAsia" w:ascii="宋体" w:hAnsi="宋体"/>
          <w:color w:val="auto"/>
          <w:sz w:val="21"/>
          <w:szCs w:val="21"/>
          <w:highlight w:val="none"/>
          <w:lang w:val="en-US" w:eastAsia="zh-CN"/>
        </w:rPr>
        <w:t>9</w:t>
      </w:r>
      <w:r>
        <w:rPr>
          <w:rFonts w:hint="eastAsia" w:ascii="宋体" w:hAnsi="宋体"/>
          <w:color w:val="auto"/>
          <w:sz w:val="21"/>
          <w:szCs w:val="21"/>
          <w:highlight w:val="none"/>
        </w:rPr>
        <w:t>.不可撤销履约保函</w:t>
      </w:r>
      <w:bookmarkEnd w:id="253"/>
      <w:bookmarkEnd w:id="254"/>
      <w:bookmarkEnd w:id="255"/>
      <w:bookmarkEnd w:id="256"/>
      <w:bookmarkEnd w:id="257"/>
      <w:bookmarkEnd w:id="258"/>
      <w:bookmarkEnd w:id="259"/>
      <w:bookmarkEnd w:id="260"/>
      <w:bookmarkEnd w:id="261"/>
      <w:bookmarkEnd w:id="262"/>
      <w:bookmarkEnd w:id="263"/>
      <w:bookmarkEnd w:id="264"/>
    </w:p>
    <w:p w14:paraId="55C82A27">
      <w:pPr>
        <w:wordWrap w:val="0"/>
        <w:snapToGrid/>
        <w:jc w:val="center"/>
        <w:rPr>
          <w:rFonts w:hint="eastAsia" w:ascii="宋体" w:hAnsi="宋体" w:eastAsia="宋体" w:cs="宋体"/>
          <w:color w:val="auto"/>
          <w:highlight w:val="none"/>
        </w:rPr>
      </w:pPr>
      <w:r>
        <w:rPr>
          <w:rFonts w:hint="eastAsia" w:ascii="宋体" w:hAnsi="宋体" w:eastAsia="宋体" w:cs="宋体"/>
          <w:color w:val="auto"/>
          <w:highlight w:val="none"/>
        </w:rPr>
        <w:t>银行编号：</w:t>
      </w:r>
    </w:p>
    <w:p w14:paraId="0F7D93CC">
      <w:pPr>
        <w:wordWrap w:val="0"/>
        <w:snapToGrid/>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（甲方）</w:t>
      </w:r>
    </w:p>
    <w:p w14:paraId="5E6DF72F">
      <w:pPr>
        <w:wordWrap w:val="0"/>
        <w:snapToGrid/>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鉴于</w:t>
      </w:r>
      <w:r>
        <w:rPr>
          <w:rFonts w:hint="eastAsia" w:ascii="宋体" w:hAnsi="宋体" w:eastAsia="宋体" w:cs="宋体"/>
          <w:color w:val="auto"/>
          <w:highlight w:val="none"/>
          <w:u w:val="single"/>
        </w:rPr>
        <w:t xml:space="preserve">         （地址：          ，下称 “乙方” ）</w:t>
      </w:r>
      <w:r>
        <w:rPr>
          <w:rFonts w:hint="eastAsia" w:ascii="宋体" w:hAnsi="宋体" w:eastAsia="宋体" w:cs="宋体"/>
          <w:color w:val="auto"/>
          <w:highlight w:val="none"/>
        </w:rPr>
        <w:t>已保证按</w:t>
      </w:r>
      <w:r>
        <w:rPr>
          <w:rFonts w:hint="eastAsia" w:ascii="宋体" w:hAnsi="宋体" w:eastAsia="宋体" w:cs="宋体"/>
          <w:color w:val="auto"/>
          <w:highlight w:val="none"/>
          <w:u w:val="single"/>
        </w:rPr>
        <w:t xml:space="preserve">        承包合同书（合同编号：    ）</w:t>
      </w:r>
      <w:r>
        <w:rPr>
          <w:rFonts w:hint="eastAsia" w:ascii="宋体" w:hAnsi="宋体" w:eastAsia="宋体" w:cs="宋体"/>
          <w:color w:val="auto"/>
          <w:highlight w:val="none"/>
        </w:rPr>
        <w:t>中规定的义务履行合同。</w:t>
      </w:r>
    </w:p>
    <w:p w14:paraId="5398FFB6">
      <w:pPr>
        <w:wordWrap w:val="0"/>
        <w:snapToGrid/>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根据上述合同约定，乙方应向甲方提供一份金额为合同总价的10%即</w:t>
      </w:r>
      <w:r>
        <w:rPr>
          <w:rFonts w:hint="eastAsia" w:ascii="宋体" w:hAnsi="宋体" w:eastAsia="宋体" w:cs="宋体"/>
          <w:color w:val="auto"/>
          <w:highlight w:val="none"/>
          <w:u w:val="single"/>
        </w:rPr>
        <w:t>人民币      （RMB    元）</w:t>
      </w:r>
      <w:r>
        <w:rPr>
          <w:rFonts w:hint="eastAsia" w:ascii="宋体" w:hAnsi="宋体" w:eastAsia="宋体" w:cs="宋体"/>
          <w:color w:val="auto"/>
          <w:highlight w:val="none"/>
        </w:rPr>
        <w:t>的</w:t>
      </w:r>
      <w:r>
        <w:rPr>
          <w:rFonts w:hint="eastAsia" w:ascii="宋体" w:hAnsi="宋体" w:eastAsia="宋体" w:cs="宋体"/>
          <w:bCs/>
          <w:color w:val="auto"/>
          <w:highlight w:val="none"/>
        </w:rPr>
        <w:t>不可撤销</w:t>
      </w:r>
      <w:r>
        <w:rPr>
          <w:rFonts w:hint="eastAsia" w:ascii="宋体" w:hAnsi="宋体" w:eastAsia="宋体" w:cs="宋体"/>
          <w:color w:val="auto"/>
          <w:highlight w:val="none"/>
        </w:rPr>
        <w:t>银行履约保函，作为乙方履行上述合同的担保。</w:t>
      </w:r>
    </w:p>
    <w:p w14:paraId="45E4D844">
      <w:pPr>
        <w:wordWrap w:val="0"/>
        <w:snapToGrid/>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我方</w:t>
      </w:r>
      <w:r>
        <w:rPr>
          <w:rFonts w:hint="eastAsia" w:ascii="宋体" w:hAnsi="宋体" w:eastAsia="宋体" w:cs="宋体"/>
          <w:color w:val="auto"/>
          <w:highlight w:val="none"/>
          <w:u w:val="single"/>
        </w:rPr>
        <w:t xml:space="preserve">            （银行名称）</w:t>
      </w:r>
      <w:r>
        <w:rPr>
          <w:rFonts w:hint="eastAsia" w:ascii="宋体" w:hAnsi="宋体" w:eastAsia="宋体" w:cs="宋体"/>
          <w:color w:val="auto"/>
          <w:highlight w:val="none"/>
        </w:rPr>
        <w:t>，受乙方的委托，不仅作为连带责任保证人而且作为主要的责任人，无条件和不可撤销地同意在甲方提出因乙方没有履行上述合同规定，而要求扣划保证金的书面要求后，7个工作日内为甲方扣划金额不超过</w:t>
      </w:r>
      <w:r>
        <w:rPr>
          <w:rFonts w:hint="eastAsia" w:ascii="宋体" w:hAnsi="宋体" w:eastAsia="宋体" w:cs="宋体"/>
          <w:color w:val="auto"/>
          <w:highlight w:val="none"/>
          <w:u w:val="single"/>
        </w:rPr>
        <w:t>人民币       （RMB       元）</w:t>
      </w:r>
      <w:r>
        <w:rPr>
          <w:rFonts w:hint="eastAsia" w:ascii="宋体" w:hAnsi="宋体" w:eastAsia="宋体" w:cs="宋体"/>
          <w:color w:val="auto"/>
          <w:highlight w:val="none"/>
        </w:rPr>
        <w:t>的保证金。</w:t>
      </w:r>
    </w:p>
    <w:p w14:paraId="17BADA46">
      <w:pPr>
        <w:wordWrap w:val="0"/>
        <w:snapToGrid/>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我方还同意，任何甲方与乙方之间可能对合同条款的修改、规范或其他合同文件的变动补充，都不能免除我方按本保函所承担的责任。因此，有关上述变动、补充和修改无须通知我方。</w:t>
      </w:r>
    </w:p>
    <w:p w14:paraId="1DEF59F8">
      <w:pPr>
        <w:wordWrap w:val="0"/>
        <w:snapToGrid/>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本保函从上述合同签订之日起至项目服务期结束验收合格并完成结算后，双方签字之日起</w:t>
      </w:r>
      <w:r>
        <w:rPr>
          <w:rFonts w:hint="eastAsia" w:ascii="宋体" w:hAnsi="宋体" w:cs="宋体"/>
          <w:color w:val="auto"/>
          <w:highlight w:val="none"/>
          <w:lang w:val="en-US" w:eastAsia="zh-CN"/>
        </w:rPr>
        <w:t>30</w:t>
      </w:r>
      <w:r>
        <w:rPr>
          <w:rFonts w:hint="eastAsia" w:ascii="宋体" w:hAnsi="宋体" w:eastAsia="宋体" w:cs="宋体"/>
          <w:color w:val="auto"/>
          <w:highlight w:val="none"/>
        </w:rPr>
        <w:t>天内保持有效。</w:t>
      </w:r>
    </w:p>
    <w:p w14:paraId="6D50D431">
      <w:pPr>
        <w:ind w:firstLine="2824" w:firstLineChars="1345"/>
        <w:rPr>
          <w:rFonts w:hint="eastAsia" w:ascii="宋体" w:hAnsi="宋体" w:eastAsia="宋体" w:cs="宋体"/>
          <w:color w:val="auto"/>
          <w:highlight w:val="none"/>
        </w:rPr>
      </w:pPr>
    </w:p>
    <w:p w14:paraId="74228AF7">
      <w:pPr>
        <w:snapToGrid/>
        <w:ind w:firstLine="4200" w:firstLineChars="2000"/>
        <w:rPr>
          <w:rFonts w:hint="eastAsia" w:ascii="宋体" w:hAnsi="宋体" w:eastAsia="宋体" w:cs="宋体"/>
          <w:color w:val="auto"/>
          <w:highlight w:val="none"/>
        </w:rPr>
      </w:pPr>
      <w:r>
        <w:rPr>
          <w:rFonts w:hint="eastAsia" w:ascii="宋体" w:hAnsi="宋体" w:eastAsia="宋体" w:cs="宋体"/>
          <w:color w:val="auto"/>
          <w:highlight w:val="none"/>
        </w:rPr>
        <w:t>保证人：（盖章）</w:t>
      </w:r>
      <w:r>
        <w:rPr>
          <w:rFonts w:hint="eastAsia" w:ascii="宋体" w:hAnsi="宋体" w:eastAsia="宋体" w:cs="宋体"/>
          <w:color w:val="auto"/>
          <w:highlight w:val="none"/>
          <w:u w:val="single"/>
        </w:rPr>
        <w:t xml:space="preserve">               </w:t>
      </w:r>
    </w:p>
    <w:p w14:paraId="6790E916">
      <w:pPr>
        <w:snapToGrid/>
        <w:ind w:firstLine="4200" w:firstLineChars="2000"/>
        <w:rPr>
          <w:rFonts w:hint="eastAsia" w:ascii="宋体" w:hAnsi="宋体" w:eastAsia="宋体" w:cs="宋体"/>
          <w:color w:val="auto"/>
          <w:highlight w:val="none"/>
        </w:rPr>
      </w:pPr>
      <w:r>
        <w:rPr>
          <w:rFonts w:hint="eastAsia" w:ascii="宋体" w:hAnsi="宋体" w:eastAsia="宋体" w:cs="宋体"/>
          <w:color w:val="auto"/>
          <w:highlight w:val="none"/>
        </w:rPr>
        <w:t>负责人：（签字）</w:t>
      </w:r>
      <w:r>
        <w:rPr>
          <w:rFonts w:hint="eastAsia" w:ascii="宋体" w:hAnsi="宋体" w:eastAsia="宋体" w:cs="宋体"/>
          <w:color w:val="auto"/>
          <w:highlight w:val="none"/>
          <w:u w:val="single"/>
        </w:rPr>
        <w:t xml:space="preserve">               </w:t>
      </w:r>
    </w:p>
    <w:p w14:paraId="46AFE0D6">
      <w:pPr>
        <w:snapToGrid/>
        <w:ind w:firstLine="4200" w:firstLineChars="2000"/>
        <w:rPr>
          <w:rFonts w:hint="eastAsia" w:ascii="宋体" w:hAnsi="宋体" w:eastAsia="宋体" w:cs="宋体"/>
          <w:color w:val="auto"/>
          <w:highlight w:val="none"/>
        </w:rPr>
      </w:pPr>
      <w:r>
        <w:rPr>
          <w:rFonts w:hint="eastAsia" w:ascii="宋体" w:hAnsi="宋体" w:eastAsia="宋体" w:cs="宋体"/>
          <w:color w:val="auto"/>
          <w:highlight w:val="none"/>
        </w:rPr>
        <w:t>联系人：</w:t>
      </w:r>
      <w:r>
        <w:rPr>
          <w:rFonts w:hint="eastAsia" w:ascii="宋体" w:hAnsi="宋体" w:eastAsia="宋体" w:cs="宋体"/>
          <w:color w:val="auto"/>
          <w:highlight w:val="none"/>
          <w:u w:val="single"/>
        </w:rPr>
        <w:t xml:space="preserve">                       </w:t>
      </w:r>
    </w:p>
    <w:p w14:paraId="7C995A77">
      <w:pPr>
        <w:snapToGrid/>
        <w:ind w:firstLine="4200" w:firstLineChars="2000"/>
        <w:rPr>
          <w:rFonts w:hint="eastAsia" w:ascii="宋体" w:hAnsi="宋体" w:eastAsia="宋体" w:cs="宋体"/>
          <w:color w:val="auto"/>
          <w:highlight w:val="none"/>
        </w:rPr>
      </w:pPr>
      <w:r>
        <w:rPr>
          <w:rFonts w:hint="eastAsia" w:ascii="宋体" w:hAnsi="宋体" w:eastAsia="宋体" w:cs="宋体"/>
          <w:color w:val="auto"/>
          <w:highlight w:val="none"/>
        </w:rPr>
        <w:t>联系电话：</w:t>
      </w:r>
      <w:r>
        <w:rPr>
          <w:rFonts w:hint="eastAsia" w:ascii="宋体" w:hAnsi="宋体" w:eastAsia="宋体" w:cs="宋体"/>
          <w:color w:val="auto"/>
          <w:highlight w:val="none"/>
          <w:u w:val="single"/>
        </w:rPr>
        <w:t xml:space="preserve">                     </w:t>
      </w:r>
    </w:p>
    <w:p w14:paraId="635384E3">
      <w:pPr>
        <w:snapToGrid/>
        <w:ind w:firstLine="4200" w:firstLineChars="2000"/>
        <w:rPr>
          <w:rFonts w:hint="default" w:ascii="宋体" w:hAnsi="宋体" w:eastAsia="宋体" w:cs="宋体"/>
          <w:color w:val="auto"/>
          <w:highlight w:val="none"/>
          <w:lang w:val="en-US" w:eastAsia="zh-CN"/>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 xml:space="preserve">                    </w:t>
      </w:r>
    </w:p>
    <w:p w14:paraId="4C92B213">
      <w:pPr>
        <w:pStyle w:val="3"/>
        <w:snapToGrid/>
        <w:rPr>
          <w:rFonts w:hint="eastAsia" w:ascii="宋体" w:hAnsi="宋体" w:eastAsia="宋体" w:cs="宋体"/>
          <w:color w:val="auto"/>
          <w:szCs w:val="24"/>
          <w:highlight w:val="none"/>
        </w:rPr>
      </w:pPr>
      <w:r>
        <w:rPr>
          <w:rFonts w:hint="eastAsia" w:ascii="宋体" w:hAnsi="宋体" w:eastAsia="宋体" w:cs="宋体"/>
          <w:color w:val="auto"/>
          <w:szCs w:val="24"/>
          <w:highlight w:val="none"/>
        </w:rPr>
        <w:t>说明：投标人在投标时不需提交正式保函，在投标文件中盖投标人公章确认保函格式即可，乙方</w:t>
      </w:r>
      <w:r>
        <w:rPr>
          <w:rFonts w:hint="eastAsia" w:ascii="宋体" w:hAnsi="宋体" w:eastAsia="宋体" w:cs="宋体"/>
          <w:color w:val="auto"/>
          <w:highlight w:val="none"/>
        </w:rPr>
        <w:t>在签订合同时</w:t>
      </w:r>
      <w:r>
        <w:rPr>
          <w:rFonts w:hint="eastAsia" w:ascii="宋体" w:hAnsi="宋体" w:eastAsia="宋体" w:cs="宋体"/>
          <w:color w:val="auto"/>
          <w:szCs w:val="24"/>
          <w:highlight w:val="none"/>
        </w:rPr>
        <w:t>提交正式保函。</w:t>
      </w:r>
    </w:p>
    <w:p w14:paraId="2FC3F72F">
      <w:pPr>
        <w:rPr>
          <w:rFonts w:hint="eastAsia" w:ascii="宋体" w:hAnsi="宋体" w:eastAsia="宋体" w:cs="宋体"/>
          <w:color w:val="auto"/>
          <w:szCs w:val="21"/>
          <w:highlight w:val="none"/>
        </w:rPr>
      </w:pPr>
    </w:p>
    <w:p w14:paraId="3C4FCFC7">
      <w:pPr>
        <w:rPr>
          <w:rFonts w:hint="eastAsia" w:ascii="宋体" w:hAnsi="宋体" w:eastAsia="宋体" w:cs="宋体"/>
          <w:color w:val="auto"/>
          <w:szCs w:val="21"/>
          <w:highlight w:val="none"/>
        </w:rPr>
        <w:sectPr>
          <w:footerReference r:id="rId14" w:type="first"/>
          <w:footerReference r:id="rId13" w:type="default"/>
          <w:pgSz w:w="11906" w:h="16838"/>
          <w:pgMar w:top="1440" w:right="1446" w:bottom="1440" w:left="1446" w:header="708" w:footer="708" w:gutter="0"/>
          <w:pgNumType w:fmt="decimal" w:start="1"/>
          <w:cols w:space="708" w:num="1"/>
          <w:titlePg/>
          <w:docGrid w:type="lines" w:linePitch="360" w:charSpace="0"/>
        </w:sectPr>
      </w:pPr>
    </w:p>
    <w:p w14:paraId="65E8744E">
      <w:pPr>
        <w:pStyle w:val="8"/>
        <w:numPr>
          <w:ilvl w:val="255"/>
          <w:numId w:val="0"/>
        </w:numPr>
        <w:tabs>
          <w:tab w:val="left" w:pos="720"/>
          <w:tab w:val="left" w:pos="3840"/>
        </w:tabs>
        <w:ind w:left="283"/>
        <w:jc w:val="both"/>
        <w:rPr>
          <w:rFonts w:ascii="宋体" w:hAnsi="宋体"/>
          <w:color w:val="auto"/>
          <w:sz w:val="21"/>
          <w:szCs w:val="21"/>
          <w:highlight w:val="none"/>
        </w:rPr>
      </w:pPr>
      <w:bookmarkStart w:id="265" w:name="_Toc29098"/>
      <w:bookmarkStart w:id="266" w:name="_Toc30887"/>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20</w:t>
      </w:r>
      <w:r>
        <w:rPr>
          <w:rFonts w:hint="eastAsia" w:ascii="宋体" w:hAnsi="宋体"/>
          <w:color w:val="auto"/>
          <w:sz w:val="21"/>
          <w:szCs w:val="21"/>
          <w:highlight w:val="none"/>
        </w:rPr>
        <w:t>.预付款保函（适用于预付款支付）</w:t>
      </w:r>
      <w:bookmarkEnd w:id="265"/>
      <w:bookmarkEnd w:id="266"/>
    </w:p>
    <w:p w14:paraId="0D128FD9">
      <w:pPr>
        <w:pStyle w:val="3"/>
        <w:rPr>
          <w:color w:val="auto"/>
          <w:szCs w:val="24"/>
          <w:highlight w:val="none"/>
        </w:rPr>
      </w:pPr>
    </w:p>
    <w:p w14:paraId="0AA60F3A">
      <w:pPr>
        <w:jc w:val="center"/>
        <w:rPr>
          <w:rFonts w:hint="eastAsia" w:ascii="宋体" w:hAnsi="宋体" w:eastAsia="宋体" w:cs="宋体"/>
          <w:color w:val="auto"/>
          <w:sz w:val="28"/>
          <w:szCs w:val="28"/>
          <w:highlight w:val="none"/>
        </w:rPr>
      </w:pPr>
      <w:bookmarkStart w:id="267" w:name="_Toc6877"/>
      <w:bookmarkStart w:id="268" w:name="_Toc3295"/>
      <w:bookmarkStart w:id="269" w:name="_Toc7374"/>
      <w:bookmarkStart w:id="270" w:name="_Toc31418"/>
      <w:bookmarkStart w:id="271" w:name="_Toc10315"/>
      <w:bookmarkStart w:id="272" w:name="_Toc29728"/>
      <w:bookmarkStart w:id="273" w:name="_Toc20669"/>
      <w:bookmarkStart w:id="274" w:name="_Toc29054"/>
      <w:bookmarkStart w:id="275" w:name="_Toc5034"/>
      <w:bookmarkStart w:id="276" w:name="_Toc25494"/>
      <w:bookmarkStart w:id="277" w:name="_Toc27545"/>
      <w:bookmarkStart w:id="278" w:name="_Toc1039"/>
      <w:r>
        <w:rPr>
          <w:rFonts w:hint="eastAsia" w:ascii="宋体" w:hAnsi="宋体" w:eastAsia="宋体" w:cs="宋体"/>
          <w:color w:val="auto"/>
          <w:sz w:val="28"/>
          <w:szCs w:val="28"/>
          <w:highlight w:val="none"/>
        </w:rPr>
        <w:t>不可撤销预付款保函</w:t>
      </w:r>
    </w:p>
    <w:p w14:paraId="116804B9">
      <w:pPr>
        <w:ind w:firstLine="63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银行编号：</w:t>
      </w:r>
      <w:r>
        <w:rPr>
          <w:rFonts w:hint="eastAsia" w:ascii="宋体" w:hAnsi="宋体" w:eastAsia="宋体" w:cs="宋体"/>
          <w:color w:val="auto"/>
          <w:szCs w:val="21"/>
          <w:highlight w:val="none"/>
          <w:u w:val="single"/>
        </w:rPr>
        <w:t xml:space="preserve">             </w:t>
      </w:r>
    </w:p>
    <w:p w14:paraId="267DEC1D">
      <w:pPr>
        <w:ind w:firstLine="6300"/>
        <w:rPr>
          <w:rFonts w:hint="eastAsia" w:ascii="宋体" w:hAnsi="宋体" w:eastAsia="宋体" w:cs="宋体"/>
          <w:color w:val="auto"/>
          <w:szCs w:val="21"/>
          <w:highlight w:val="none"/>
        </w:rPr>
      </w:pPr>
    </w:p>
    <w:p w14:paraId="702AE181">
      <w:pPr>
        <w:snapToGrid/>
        <w:spacing w:line="30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（下称“采购人”）</w:t>
      </w:r>
    </w:p>
    <w:p w14:paraId="437E6079">
      <w:pPr>
        <w:snapToGrid/>
        <w:spacing w:line="300" w:lineRule="auto"/>
        <w:ind w:firstLine="437"/>
        <w:rPr>
          <w:rFonts w:hint="eastAsia" w:ascii="宋体" w:hAnsi="宋体" w:eastAsia="宋体" w:cs="宋体"/>
          <w:color w:val="auto"/>
          <w:szCs w:val="21"/>
          <w:highlight w:val="none"/>
        </w:rPr>
      </w:pPr>
      <w:r>
        <w:rPr>
          <w:rFonts w:hint="eastAsia" w:ascii="宋体" w:hAnsi="宋体" w:eastAsia="宋体" w:cs="宋体"/>
          <w:color w:val="auto"/>
          <w:szCs w:val="21"/>
          <w:highlight w:val="none"/>
        </w:rPr>
        <w:t>鉴于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4"/>
          <w:highlight w:val="none"/>
          <w:u w:val="single"/>
        </w:rPr>
        <w:t>（地址：          ，下称 “中标人” ）</w:t>
      </w:r>
      <w:r>
        <w:rPr>
          <w:rFonts w:hint="eastAsia" w:ascii="宋体" w:hAnsi="宋体" w:eastAsia="宋体" w:cs="宋体"/>
          <w:color w:val="auto"/>
          <w:szCs w:val="21"/>
          <w:highlight w:val="none"/>
        </w:rPr>
        <w:t>，已保证按</w:t>
      </w:r>
      <w:r>
        <w:rPr>
          <w:rFonts w:hint="eastAsia" w:ascii="宋体" w:hAnsi="宋体" w:eastAsia="宋体" w:cs="宋体"/>
          <w:color w:val="auto"/>
          <w:szCs w:val="21"/>
          <w:highlight w:val="none"/>
          <w:u w:val="single"/>
        </w:rPr>
        <w:t xml:space="preserve">          承包合同书（合同编号：    ）</w:t>
      </w:r>
      <w:r>
        <w:rPr>
          <w:rFonts w:hint="eastAsia" w:ascii="宋体" w:hAnsi="宋体" w:eastAsia="宋体" w:cs="宋体"/>
          <w:color w:val="auto"/>
          <w:szCs w:val="21"/>
          <w:highlight w:val="none"/>
        </w:rPr>
        <w:t>中规定的义务履行合同。</w:t>
      </w:r>
    </w:p>
    <w:p w14:paraId="14904B14">
      <w:pPr>
        <w:snapToGrid/>
        <w:spacing w:line="300" w:lineRule="auto"/>
        <w:ind w:firstLine="437"/>
        <w:rPr>
          <w:rFonts w:hint="eastAsia" w:ascii="宋体" w:hAnsi="宋体" w:eastAsia="宋体" w:cs="宋体"/>
          <w:color w:val="auto"/>
          <w:szCs w:val="21"/>
          <w:highlight w:val="none"/>
        </w:rPr>
      </w:pPr>
      <w:r>
        <w:rPr>
          <w:rFonts w:hint="eastAsia" w:ascii="宋体" w:hAnsi="宋体" w:eastAsia="宋体" w:cs="宋体"/>
          <w:color w:val="auto"/>
          <w:szCs w:val="24"/>
          <w:highlight w:val="none"/>
        </w:rPr>
        <w:t>根据上述合同（采购文件）规定，中标人应向采购人提供一份金额为合同总价的</w:t>
      </w:r>
      <w:r>
        <w:rPr>
          <w:rFonts w:hint="eastAsia" w:ascii="宋体" w:hAnsi="宋体" w:eastAsia="宋体" w:cs="宋体"/>
          <w:color w:val="auto"/>
          <w:szCs w:val="24"/>
          <w:highlight w:val="none"/>
          <w:u w:val="single"/>
        </w:rPr>
        <w:t xml:space="preserve">   </w:t>
      </w:r>
      <w:r>
        <w:rPr>
          <w:rFonts w:hint="eastAsia" w:ascii="宋体" w:hAnsi="宋体" w:eastAsia="宋体" w:cs="宋体"/>
          <w:color w:val="auto"/>
          <w:szCs w:val="24"/>
          <w:highlight w:val="none"/>
        </w:rPr>
        <w:t>% 即人民币</w:t>
      </w:r>
      <w:r>
        <w:rPr>
          <w:rFonts w:hint="eastAsia" w:ascii="宋体" w:hAnsi="宋体" w:eastAsia="宋体" w:cs="宋体"/>
          <w:color w:val="auto"/>
          <w:szCs w:val="21"/>
          <w:highlight w:val="none"/>
          <w:u w:val="single"/>
        </w:rPr>
        <w:t xml:space="preserve">      （RMB      元）</w:t>
      </w:r>
      <w:r>
        <w:rPr>
          <w:rFonts w:hint="eastAsia" w:ascii="宋体" w:hAnsi="宋体" w:eastAsia="宋体" w:cs="宋体"/>
          <w:color w:val="auto"/>
          <w:szCs w:val="21"/>
          <w:highlight w:val="none"/>
        </w:rPr>
        <w:t>的不可撤销银行预付款保函，以保证中标人履行合同的相关条款。</w:t>
      </w:r>
    </w:p>
    <w:p w14:paraId="767F2BBE">
      <w:pPr>
        <w:snapToGrid/>
        <w:spacing w:line="300" w:lineRule="auto"/>
        <w:ind w:firstLine="437"/>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w:t>
      </w:r>
      <w:r>
        <w:rPr>
          <w:rFonts w:hint="eastAsia" w:ascii="宋体" w:hAnsi="宋体" w:eastAsia="宋体" w:cs="宋体"/>
          <w:color w:val="auto"/>
          <w:szCs w:val="21"/>
          <w:highlight w:val="none"/>
          <w:u w:val="single"/>
        </w:rPr>
        <w:t xml:space="preserve">  （银行名称）  </w:t>
      </w:r>
      <w:r>
        <w:rPr>
          <w:rFonts w:hint="eastAsia" w:ascii="宋体" w:hAnsi="宋体" w:eastAsia="宋体" w:cs="宋体"/>
          <w:color w:val="auto"/>
          <w:szCs w:val="21"/>
          <w:highlight w:val="none"/>
        </w:rPr>
        <w:t>，受中标人的委托，作为连带责任保证人，无条件和不可撤销地同意在采购人提出因中标人没有履行上述合同规定，而要求收回上述金额内任何付款的书面要求后，于7个工作日内为采购人予以支付并保证到达采购人账户，以保证在中标人没有履行或部分履行合同条款的责任时，采购人可以向中标人收回全部或部分预付款。</w:t>
      </w:r>
    </w:p>
    <w:p w14:paraId="771DDCCF">
      <w:pPr>
        <w:snapToGrid/>
        <w:spacing w:line="300" w:lineRule="auto"/>
        <w:ind w:firstLine="437"/>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我方还同意，任何采购人与中标人之间可能对合同条款的修改、规范或其他合同文件的变动补充，都不能免除我方按本保函所承担的责任。因此，有关上述变动、补充和修改无须通知我方。</w:t>
      </w:r>
    </w:p>
    <w:p w14:paraId="3C6ABE6E">
      <w:pPr>
        <w:snapToGrid/>
        <w:spacing w:line="300" w:lineRule="auto"/>
        <w:ind w:firstLine="437"/>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本保函有效期从保函开立之日起至采购人向中标人抵扣完所有预付款之日止。</w:t>
      </w:r>
    </w:p>
    <w:p w14:paraId="2733BC08">
      <w:pPr>
        <w:rPr>
          <w:rFonts w:hint="eastAsia" w:ascii="宋体" w:hAnsi="宋体" w:eastAsia="宋体" w:cs="宋体"/>
          <w:color w:val="auto"/>
          <w:szCs w:val="21"/>
          <w:highlight w:val="none"/>
        </w:rPr>
      </w:pPr>
    </w:p>
    <w:p w14:paraId="7E4DEEF4">
      <w:pPr>
        <w:ind w:firstLine="437"/>
        <w:rPr>
          <w:rFonts w:hint="eastAsia" w:ascii="宋体" w:hAnsi="宋体" w:eastAsia="宋体" w:cs="宋体"/>
          <w:color w:val="auto"/>
          <w:szCs w:val="21"/>
          <w:highlight w:val="none"/>
        </w:rPr>
      </w:pPr>
    </w:p>
    <w:p w14:paraId="7AAB178C">
      <w:pPr>
        <w:snapToGrid/>
        <w:ind w:firstLine="3968"/>
        <w:rPr>
          <w:rFonts w:hint="eastAsia" w:ascii="宋体" w:hAnsi="宋体" w:eastAsia="宋体" w:cs="宋体"/>
          <w:color w:val="auto"/>
          <w:szCs w:val="21"/>
          <w:highlight w:val="none"/>
        </w:rPr>
      </w:pPr>
      <w:r>
        <w:rPr>
          <w:rFonts w:hint="eastAsia" w:ascii="宋体" w:hAnsi="宋体" w:eastAsia="宋体" w:cs="宋体"/>
          <w:color w:val="auto"/>
          <w:szCs w:val="21"/>
          <w:highlight w:val="none"/>
        </w:rPr>
        <w:t>保证人：（公章）</w:t>
      </w:r>
      <w:r>
        <w:rPr>
          <w:rFonts w:hint="eastAsia" w:ascii="宋体" w:hAnsi="宋体" w:eastAsia="宋体" w:cs="宋体"/>
          <w:color w:val="auto"/>
          <w:szCs w:val="21"/>
          <w:highlight w:val="none"/>
          <w:u w:val="single"/>
        </w:rPr>
        <w:t xml:space="preserve">                    </w:t>
      </w:r>
    </w:p>
    <w:p w14:paraId="1CD1FAD8">
      <w:pPr>
        <w:snapToGrid/>
        <w:ind w:firstLine="3968"/>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负责人：（签字）</w:t>
      </w:r>
      <w:r>
        <w:rPr>
          <w:rFonts w:hint="eastAsia" w:ascii="宋体" w:hAnsi="宋体" w:eastAsia="宋体" w:cs="宋体"/>
          <w:color w:val="auto"/>
          <w:szCs w:val="21"/>
          <w:highlight w:val="none"/>
          <w:u w:val="single"/>
        </w:rPr>
        <w:t xml:space="preserve">                    </w:t>
      </w:r>
    </w:p>
    <w:p w14:paraId="5DBE7FD9">
      <w:pPr>
        <w:snapToGrid/>
        <w:ind w:firstLine="3968"/>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single"/>
        </w:rPr>
        <w:t xml:space="preserve">                          </w:t>
      </w:r>
    </w:p>
    <w:p w14:paraId="42417830">
      <w:pPr>
        <w:snapToGrid/>
        <w:ind w:firstLine="3968"/>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u w:val="single"/>
        </w:rPr>
        <w:t xml:space="preserve">                              </w:t>
      </w:r>
    </w:p>
    <w:p w14:paraId="612F9C33">
      <w:pPr>
        <w:snapToGrid/>
        <w:ind w:firstLine="3968"/>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p>
    <w:p w14:paraId="7BFBDAE2">
      <w:pPr>
        <w:pStyle w:val="3"/>
        <w:rPr>
          <w:rFonts w:hint="eastAsia" w:ascii="宋体" w:hAnsi="宋体" w:eastAsia="宋体" w:cs="宋体"/>
          <w:color w:val="auto"/>
          <w:szCs w:val="21"/>
          <w:highlight w:val="none"/>
        </w:rPr>
      </w:pPr>
    </w:p>
    <w:p w14:paraId="505DC856">
      <w:pPr>
        <w:ind w:firstLine="413" w:firstLineChars="196"/>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说明：投标人在投标文件中盖投标人公章确认保函内容即可，如中标再由银行出具保函。</w:t>
      </w:r>
    </w:p>
    <w:p w14:paraId="53CFFC0A">
      <w:pPr>
        <w:rPr>
          <w:rFonts w:hint="eastAsia" w:ascii="宋体" w:hAnsi="宋体" w:eastAsia="宋体" w:cs="宋体"/>
          <w:color w:val="auto"/>
          <w:szCs w:val="21"/>
          <w:highlight w:val="none"/>
        </w:rPr>
        <w:sectPr>
          <w:pgSz w:w="11906" w:h="16838"/>
          <w:pgMar w:top="1440" w:right="1800" w:bottom="1440" w:left="1800" w:header="708" w:footer="708" w:gutter="0"/>
          <w:pgNumType w:fmt="decimal"/>
          <w:cols w:space="708" w:num="1"/>
          <w:titlePg/>
          <w:docGrid w:type="lines" w:linePitch="360" w:charSpace="0"/>
        </w:sectPr>
      </w:pPr>
    </w:p>
    <w:bookmarkEnd w:id="267"/>
    <w:bookmarkEnd w:id="268"/>
    <w:bookmarkEnd w:id="269"/>
    <w:bookmarkEnd w:id="270"/>
    <w:bookmarkEnd w:id="271"/>
    <w:bookmarkEnd w:id="272"/>
    <w:bookmarkEnd w:id="273"/>
    <w:bookmarkEnd w:id="274"/>
    <w:bookmarkEnd w:id="275"/>
    <w:bookmarkEnd w:id="276"/>
    <w:bookmarkEnd w:id="277"/>
    <w:bookmarkEnd w:id="278"/>
    <w:p w14:paraId="2FE09797">
      <w:pPr>
        <w:pStyle w:val="2"/>
        <w:rPr>
          <w:color w:val="auto"/>
          <w:highlight w:val="none"/>
        </w:rPr>
      </w:pPr>
      <w:bookmarkStart w:id="279" w:name="_Toc1968"/>
    </w:p>
    <w:p w14:paraId="039A6000">
      <w:pPr>
        <w:jc w:val="center"/>
        <w:outlineLvl w:val="1"/>
        <w:rPr>
          <w:rFonts w:eastAsia="黑体"/>
          <w:color w:val="auto"/>
          <w:sz w:val="72"/>
          <w:szCs w:val="72"/>
          <w:highlight w:val="none"/>
        </w:rPr>
      </w:pPr>
      <w:bookmarkStart w:id="280" w:name="_Toc16601"/>
      <w:bookmarkStart w:id="281" w:name="_Toc28867"/>
      <w:r>
        <w:rPr>
          <w:rFonts w:hint="eastAsia" w:eastAsia="黑体"/>
          <w:color w:val="auto"/>
          <w:sz w:val="72"/>
          <w:szCs w:val="72"/>
          <w:highlight w:val="none"/>
        </w:rPr>
        <w:t>唱标信封</w:t>
      </w:r>
      <w:bookmarkEnd w:id="280"/>
      <w:bookmarkEnd w:id="281"/>
    </w:p>
    <w:p w14:paraId="1A59A851">
      <w:pPr>
        <w:jc w:val="center"/>
        <w:rPr>
          <w:rFonts w:ascii="黑体" w:eastAsia="黑体"/>
          <w:color w:val="auto"/>
          <w:sz w:val="52"/>
          <w:szCs w:val="52"/>
          <w:highlight w:val="none"/>
        </w:rPr>
      </w:pPr>
      <w:r>
        <w:rPr>
          <w:rFonts w:hint="eastAsia" w:ascii="黑体" w:eastAsia="黑体"/>
          <w:color w:val="auto"/>
          <w:sz w:val="52"/>
          <w:szCs w:val="52"/>
          <w:highlight w:val="none"/>
        </w:rPr>
        <w:t>（单独装订成册，单独封装）</w:t>
      </w:r>
    </w:p>
    <w:p w14:paraId="5A5E8526">
      <w:pPr>
        <w:rPr>
          <w:color w:val="auto"/>
          <w:highlight w:val="none"/>
        </w:rPr>
      </w:pPr>
    </w:p>
    <w:p w14:paraId="023C9CCF">
      <w:pPr>
        <w:pStyle w:val="2"/>
        <w:ind w:left="0"/>
        <w:rPr>
          <w:color w:val="auto"/>
          <w:highlight w:val="none"/>
        </w:rPr>
      </w:pPr>
    </w:p>
    <w:p w14:paraId="13677166">
      <w:pPr>
        <w:pStyle w:val="30"/>
        <w:keepNext w:val="0"/>
        <w:keepLines w:val="0"/>
        <w:pageBreakBefore w:val="0"/>
        <w:widowControl/>
        <w:kinsoku/>
        <w:wordWrap/>
        <w:overflowPunct/>
        <w:topLinePunct w:val="0"/>
        <w:autoSpaceDE/>
        <w:autoSpaceDN/>
        <w:bidi w:val="0"/>
        <w:adjustRightInd w:val="0"/>
        <w:snapToGrid w:val="0"/>
        <w:spacing w:before="0" w:after="0" w:afterAutospacing="0" w:line="360" w:lineRule="auto"/>
        <w:ind w:left="0" w:firstLine="0" w:firstLineChars="0"/>
        <w:textAlignment w:val="auto"/>
        <w:rPr>
          <w:color w:val="auto"/>
          <w:highlight w:val="none"/>
        </w:rPr>
      </w:pPr>
    </w:p>
    <w:p w14:paraId="117BF07D">
      <w:pPr>
        <w:keepNext w:val="0"/>
        <w:keepLines w:val="0"/>
        <w:pageBreakBefore w:val="0"/>
        <w:widowControl/>
        <w:kinsoku/>
        <w:wordWrap/>
        <w:overflowPunct/>
        <w:topLinePunct w:val="0"/>
        <w:autoSpaceDE/>
        <w:autoSpaceDN/>
        <w:bidi w:val="0"/>
        <w:adjustRightInd/>
        <w:snapToGrid/>
        <w:spacing w:afterAutospacing="0" w:line="360" w:lineRule="auto"/>
        <w:ind w:left="0"/>
        <w:textAlignment w:val="auto"/>
        <w:rPr>
          <w:rFonts w:hint="default" w:ascii="Tahoma" w:hAnsi="Tahoma" w:eastAsia="宋体" w:cstheme="minorBidi"/>
          <w:b/>
          <w:bCs/>
          <w:spacing w:val="0"/>
          <w:kern w:val="0"/>
          <w:sz w:val="32"/>
          <w:szCs w:val="32"/>
        </w:rPr>
      </w:pPr>
      <w:r>
        <w:rPr>
          <w:rFonts w:hint="default" w:ascii="Tahoma" w:hAnsi="Tahoma" w:eastAsia="宋体" w:cstheme="minorBidi"/>
          <w:b/>
          <w:bCs/>
          <w:spacing w:val="53"/>
          <w:kern w:val="0"/>
          <w:sz w:val="32"/>
          <w:szCs w:val="32"/>
          <w:fitText w:val="1600" w:id="926575104"/>
        </w:rPr>
        <w:t>项目名</w:t>
      </w:r>
      <w:r>
        <w:rPr>
          <w:rFonts w:hint="default" w:ascii="Tahoma" w:hAnsi="Tahoma" w:eastAsia="宋体" w:cstheme="minorBidi"/>
          <w:b/>
          <w:bCs/>
          <w:spacing w:val="1"/>
          <w:kern w:val="0"/>
          <w:sz w:val="32"/>
          <w:szCs w:val="32"/>
          <w:fitText w:val="1600" w:id="926575104"/>
        </w:rPr>
        <w:t>称</w:t>
      </w:r>
      <w:r>
        <w:rPr>
          <w:rFonts w:hint="default" w:ascii="Tahoma" w:hAnsi="Tahoma" w:eastAsia="宋体" w:cstheme="minorBidi"/>
          <w:b/>
          <w:bCs/>
          <w:spacing w:val="0"/>
          <w:kern w:val="0"/>
          <w:sz w:val="32"/>
          <w:szCs w:val="32"/>
        </w:rPr>
        <w:t>：</w:t>
      </w:r>
    </w:p>
    <w:p w14:paraId="1C2E4196">
      <w:pPr>
        <w:keepNext w:val="0"/>
        <w:keepLines w:val="0"/>
        <w:pageBreakBefore w:val="0"/>
        <w:widowControl/>
        <w:kinsoku/>
        <w:wordWrap/>
        <w:overflowPunct/>
        <w:topLinePunct w:val="0"/>
        <w:autoSpaceDE/>
        <w:autoSpaceDN/>
        <w:bidi w:val="0"/>
        <w:adjustRightInd/>
        <w:snapToGrid/>
        <w:spacing w:afterAutospacing="0" w:line="360" w:lineRule="auto"/>
        <w:ind w:left="0"/>
        <w:textAlignment w:val="auto"/>
        <w:rPr>
          <w:rFonts w:hint="default" w:ascii="Tahoma" w:hAnsi="Tahoma" w:eastAsia="宋体" w:cstheme="minorBidi"/>
          <w:b/>
          <w:bCs/>
          <w:spacing w:val="0"/>
          <w:kern w:val="0"/>
          <w:sz w:val="32"/>
          <w:szCs w:val="32"/>
        </w:rPr>
      </w:pPr>
      <w:r>
        <w:rPr>
          <w:rFonts w:hint="default" w:ascii="Tahoma" w:hAnsi="Tahoma" w:eastAsia="宋体" w:cstheme="minorBidi"/>
          <w:b/>
          <w:bCs/>
          <w:spacing w:val="53"/>
          <w:kern w:val="0"/>
          <w:sz w:val="32"/>
          <w:szCs w:val="32"/>
          <w:fitText w:val="1600" w:id="434516742"/>
        </w:rPr>
        <w:t>项目编</w:t>
      </w:r>
      <w:r>
        <w:rPr>
          <w:rFonts w:hint="default" w:ascii="Tahoma" w:hAnsi="Tahoma" w:eastAsia="宋体" w:cstheme="minorBidi"/>
          <w:b/>
          <w:bCs/>
          <w:spacing w:val="1"/>
          <w:kern w:val="0"/>
          <w:sz w:val="32"/>
          <w:szCs w:val="32"/>
          <w:fitText w:val="1600" w:id="434516742"/>
        </w:rPr>
        <w:t>号</w:t>
      </w:r>
      <w:r>
        <w:rPr>
          <w:rFonts w:hint="default" w:ascii="Tahoma" w:hAnsi="Tahoma" w:eastAsia="宋体" w:cstheme="minorBidi"/>
          <w:b/>
          <w:bCs/>
          <w:spacing w:val="0"/>
          <w:kern w:val="0"/>
          <w:sz w:val="32"/>
          <w:szCs w:val="32"/>
        </w:rPr>
        <w:t>：</w:t>
      </w:r>
    </w:p>
    <w:p w14:paraId="4C0CD26D">
      <w:pPr>
        <w:keepNext w:val="0"/>
        <w:keepLines w:val="0"/>
        <w:pageBreakBefore w:val="0"/>
        <w:widowControl/>
        <w:kinsoku/>
        <w:wordWrap/>
        <w:overflowPunct/>
        <w:topLinePunct w:val="0"/>
        <w:autoSpaceDE/>
        <w:autoSpaceDN/>
        <w:bidi w:val="0"/>
        <w:adjustRightInd/>
        <w:snapToGrid/>
        <w:spacing w:afterAutospacing="0" w:line="360" w:lineRule="auto"/>
        <w:ind w:left="0"/>
        <w:textAlignment w:val="auto"/>
        <w:rPr>
          <w:rFonts w:hint="default" w:ascii="Tahoma" w:hAnsi="Tahoma" w:eastAsia="宋体" w:cstheme="minorBidi"/>
          <w:b/>
          <w:bCs/>
          <w:spacing w:val="0"/>
          <w:kern w:val="0"/>
          <w:sz w:val="32"/>
          <w:szCs w:val="32"/>
        </w:rPr>
      </w:pPr>
      <w:r>
        <w:rPr>
          <w:rFonts w:hint="default" w:ascii="Tahoma" w:hAnsi="Tahoma" w:eastAsia="宋体" w:cstheme="minorBidi"/>
          <w:b/>
          <w:bCs/>
          <w:spacing w:val="0"/>
          <w:w w:val="100"/>
          <w:kern w:val="0"/>
          <w:sz w:val="32"/>
          <w:szCs w:val="32"/>
        </w:rPr>
        <w:t>包组号（如有）：</w:t>
      </w:r>
    </w:p>
    <w:p w14:paraId="1D2420DD">
      <w:pPr>
        <w:keepNext w:val="0"/>
        <w:keepLines w:val="0"/>
        <w:pageBreakBefore w:val="0"/>
        <w:widowControl/>
        <w:kinsoku/>
        <w:wordWrap/>
        <w:overflowPunct/>
        <w:topLinePunct w:val="0"/>
        <w:autoSpaceDE/>
        <w:autoSpaceDN/>
        <w:bidi w:val="0"/>
        <w:adjustRightInd/>
        <w:snapToGrid/>
        <w:spacing w:afterAutospacing="0" w:line="360" w:lineRule="auto"/>
        <w:ind w:left="0"/>
        <w:textAlignment w:val="auto"/>
        <w:rPr>
          <w:rFonts w:hint="default" w:ascii="Tahoma" w:hAnsi="Tahoma" w:eastAsia="宋体" w:cstheme="minorBidi"/>
          <w:b/>
          <w:bCs/>
          <w:spacing w:val="0"/>
          <w:kern w:val="0"/>
          <w:sz w:val="32"/>
          <w:szCs w:val="32"/>
        </w:rPr>
      </w:pPr>
      <w:r>
        <w:rPr>
          <w:rFonts w:hint="default" w:ascii="Tahoma" w:hAnsi="Tahoma" w:eastAsia="宋体" w:cstheme="minorBidi"/>
          <w:b/>
          <w:bCs/>
          <w:spacing w:val="0"/>
          <w:w w:val="100"/>
          <w:kern w:val="0"/>
          <w:sz w:val="32"/>
          <w:szCs w:val="32"/>
        </w:rPr>
        <w:t>投标人名称：</w:t>
      </w:r>
    </w:p>
    <w:p w14:paraId="229DB7E6">
      <w:pPr>
        <w:keepNext w:val="0"/>
        <w:keepLines w:val="0"/>
        <w:pageBreakBefore w:val="0"/>
        <w:widowControl/>
        <w:kinsoku/>
        <w:wordWrap/>
        <w:overflowPunct/>
        <w:topLinePunct w:val="0"/>
        <w:autoSpaceDE/>
        <w:autoSpaceDN/>
        <w:bidi w:val="0"/>
        <w:adjustRightInd/>
        <w:snapToGrid/>
        <w:spacing w:afterAutospacing="0" w:line="360" w:lineRule="auto"/>
        <w:ind w:left="0"/>
        <w:textAlignment w:val="auto"/>
        <w:rPr>
          <w:rFonts w:hint="default" w:ascii="Tahoma" w:hAnsi="Tahoma" w:eastAsia="宋体" w:cstheme="minorBidi"/>
          <w:b/>
          <w:bCs/>
          <w:spacing w:val="0"/>
          <w:kern w:val="0"/>
          <w:sz w:val="32"/>
          <w:szCs w:val="32"/>
        </w:rPr>
      </w:pPr>
      <w:r>
        <w:rPr>
          <w:rFonts w:hint="default" w:ascii="Tahoma" w:hAnsi="Tahoma" w:eastAsia="宋体" w:cstheme="minorBidi"/>
          <w:b/>
          <w:bCs/>
          <w:spacing w:val="32"/>
          <w:kern w:val="0"/>
          <w:sz w:val="32"/>
          <w:szCs w:val="32"/>
          <w:fitText w:val="1600" w:id="2107508843"/>
        </w:rPr>
        <w:t>日</w:t>
      </w:r>
      <w:r>
        <w:rPr>
          <w:rFonts w:hint="eastAsia" w:eastAsia="宋体" w:cstheme="minorBidi"/>
          <w:b/>
          <w:bCs/>
          <w:spacing w:val="32"/>
          <w:kern w:val="0"/>
          <w:sz w:val="32"/>
          <w:szCs w:val="32"/>
          <w:fitText w:val="1600" w:id="2107508843"/>
          <w:lang w:val="en-US" w:eastAsia="zh-CN"/>
        </w:rPr>
        <w:t xml:space="preserve">   </w:t>
      </w:r>
      <w:r>
        <w:rPr>
          <w:rFonts w:hint="default" w:ascii="Tahoma" w:hAnsi="Tahoma" w:eastAsia="宋体" w:cstheme="minorBidi"/>
          <w:b/>
          <w:bCs/>
          <w:spacing w:val="32"/>
          <w:kern w:val="0"/>
          <w:sz w:val="32"/>
          <w:szCs w:val="32"/>
          <w:fitText w:val="1600" w:id="2107508843"/>
        </w:rPr>
        <w:t xml:space="preserve"> </w:t>
      </w:r>
      <w:r>
        <w:rPr>
          <w:rFonts w:hint="default" w:ascii="Tahoma" w:hAnsi="Tahoma" w:eastAsia="宋体" w:cstheme="minorBidi"/>
          <w:b/>
          <w:bCs/>
          <w:spacing w:val="0"/>
          <w:kern w:val="0"/>
          <w:sz w:val="32"/>
          <w:szCs w:val="32"/>
          <w:fitText w:val="1600" w:id="2107508843"/>
        </w:rPr>
        <w:t>期</w:t>
      </w:r>
      <w:r>
        <w:rPr>
          <w:rFonts w:hint="default" w:ascii="Tahoma" w:hAnsi="Tahoma" w:eastAsia="宋体" w:cstheme="minorBidi"/>
          <w:b/>
          <w:bCs/>
          <w:spacing w:val="0"/>
          <w:kern w:val="0"/>
          <w:sz w:val="32"/>
          <w:szCs w:val="32"/>
        </w:rPr>
        <w:t>：</w:t>
      </w:r>
    </w:p>
    <w:p w14:paraId="19626855">
      <w:pPr>
        <w:rPr>
          <w:rFonts w:ascii="宋体" w:hAnsi="宋体"/>
          <w:color w:val="auto"/>
          <w:szCs w:val="21"/>
          <w:highlight w:val="none"/>
        </w:rPr>
      </w:pPr>
      <w:r>
        <w:rPr>
          <w:rFonts w:hint="eastAsia" w:ascii="宋体" w:hAnsi="宋体"/>
          <w:color w:val="auto"/>
          <w:szCs w:val="21"/>
          <w:highlight w:val="none"/>
        </w:rPr>
        <w:br w:type="page"/>
      </w:r>
    </w:p>
    <w:bookmarkEnd w:id="279"/>
    <w:p w14:paraId="47B54ABA">
      <w:pPr>
        <w:pStyle w:val="8"/>
        <w:numPr>
          <w:ilvl w:val="255"/>
          <w:numId w:val="0"/>
        </w:numPr>
        <w:tabs>
          <w:tab w:val="left" w:pos="720"/>
          <w:tab w:val="left" w:pos="3840"/>
        </w:tabs>
        <w:ind w:left="283"/>
        <w:jc w:val="both"/>
        <w:rPr>
          <w:rFonts w:ascii="宋体" w:hAnsi="宋体"/>
          <w:color w:val="auto"/>
          <w:sz w:val="21"/>
          <w:szCs w:val="21"/>
          <w:highlight w:val="none"/>
        </w:rPr>
      </w:pPr>
      <w:bookmarkStart w:id="282" w:name="_Toc31340"/>
      <w:bookmarkStart w:id="283" w:name="_Toc29958"/>
      <w:r>
        <w:rPr>
          <w:rFonts w:hint="eastAsia" w:ascii="宋体" w:hAnsi="宋体"/>
          <w:color w:val="auto"/>
          <w:sz w:val="21"/>
          <w:szCs w:val="21"/>
          <w:highlight w:val="none"/>
        </w:rPr>
        <w:t>附件</w:t>
      </w:r>
      <w:r>
        <w:rPr>
          <w:rFonts w:hint="eastAsia" w:ascii="宋体" w:hAnsi="宋体"/>
          <w:color w:val="auto"/>
          <w:sz w:val="21"/>
          <w:szCs w:val="21"/>
          <w:highlight w:val="none"/>
          <w:lang w:val="en-US" w:eastAsia="zh-CN"/>
        </w:rPr>
        <w:t>21</w:t>
      </w:r>
      <w:r>
        <w:rPr>
          <w:rFonts w:hint="eastAsia" w:ascii="宋体" w:hAnsi="宋体"/>
          <w:color w:val="auto"/>
          <w:sz w:val="21"/>
          <w:szCs w:val="21"/>
          <w:highlight w:val="none"/>
        </w:rPr>
        <w:t>.唱标信封内装（内容务必与投标文件正本一致）</w:t>
      </w:r>
      <w:bookmarkEnd w:id="282"/>
      <w:bookmarkEnd w:id="283"/>
    </w:p>
    <w:p w14:paraId="1B734613">
      <w:pPr>
        <w:numPr>
          <w:ilvl w:val="0"/>
          <w:numId w:val="12"/>
        </w:numPr>
        <w:snapToGrid/>
        <w:ind w:firstLineChars="200"/>
        <w:rPr>
          <w:rFonts w:hAnsi="宋体"/>
          <w:color w:val="auto"/>
          <w:szCs w:val="21"/>
          <w:highlight w:val="none"/>
        </w:rPr>
      </w:pPr>
      <w:r>
        <w:rPr>
          <w:rFonts w:hint="eastAsia" w:hAnsi="宋体"/>
          <w:color w:val="auto"/>
          <w:szCs w:val="21"/>
          <w:highlight w:val="none"/>
        </w:rPr>
        <w:t>开标一览表加盖公章；</w:t>
      </w:r>
    </w:p>
    <w:p w14:paraId="0D0D926F">
      <w:pPr>
        <w:numPr>
          <w:ilvl w:val="0"/>
          <w:numId w:val="12"/>
        </w:numPr>
        <w:snapToGrid/>
        <w:ind w:firstLineChars="200"/>
        <w:rPr>
          <w:rFonts w:hAnsi="宋体"/>
          <w:color w:val="auto"/>
          <w:szCs w:val="21"/>
          <w:highlight w:val="none"/>
        </w:rPr>
      </w:pPr>
      <w:r>
        <w:rPr>
          <w:rFonts w:hint="eastAsia" w:hAnsi="宋体"/>
          <w:color w:val="auto"/>
          <w:szCs w:val="21"/>
          <w:highlight w:val="none"/>
        </w:rPr>
        <w:t>法定代表人证明书加盖公章；</w:t>
      </w:r>
    </w:p>
    <w:p w14:paraId="0C8BB0AB">
      <w:pPr>
        <w:numPr>
          <w:ilvl w:val="0"/>
          <w:numId w:val="12"/>
        </w:numPr>
        <w:snapToGrid/>
        <w:ind w:firstLineChars="200"/>
        <w:rPr>
          <w:rFonts w:hAnsi="宋体"/>
          <w:color w:val="auto"/>
          <w:szCs w:val="21"/>
          <w:highlight w:val="none"/>
        </w:rPr>
      </w:pPr>
      <w:r>
        <w:rPr>
          <w:rFonts w:hint="eastAsia" w:hAnsi="宋体"/>
          <w:color w:val="auto"/>
          <w:szCs w:val="21"/>
          <w:highlight w:val="none"/>
        </w:rPr>
        <w:t>法定代表人授权委托书加盖公章（法定代表人投标的除外）；</w:t>
      </w:r>
    </w:p>
    <w:p w14:paraId="51184BEC">
      <w:pPr>
        <w:numPr>
          <w:ilvl w:val="0"/>
          <w:numId w:val="12"/>
        </w:numPr>
        <w:snapToGrid/>
        <w:ind w:firstLineChars="200"/>
        <w:rPr>
          <w:rFonts w:hAnsi="宋体"/>
          <w:color w:val="auto"/>
          <w:szCs w:val="21"/>
          <w:highlight w:val="none"/>
        </w:rPr>
      </w:pPr>
      <w:r>
        <w:rPr>
          <w:rFonts w:hint="eastAsia" w:hAnsi="宋体"/>
          <w:color w:val="auto"/>
          <w:szCs w:val="21"/>
          <w:highlight w:val="none"/>
        </w:rPr>
        <w:t>投标保证金汇入情况说明（含银行汇款凭证）加盖公章；</w:t>
      </w:r>
    </w:p>
    <w:p w14:paraId="68747335">
      <w:pPr>
        <w:numPr>
          <w:ilvl w:val="0"/>
          <w:numId w:val="12"/>
        </w:numPr>
        <w:snapToGrid/>
        <w:ind w:firstLineChars="200"/>
        <w:rPr>
          <w:rFonts w:hAnsi="宋体"/>
          <w:color w:val="auto"/>
          <w:szCs w:val="21"/>
          <w:highlight w:val="none"/>
        </w:rPr>
      </w:pPr>
      <w:r>
        <w:rPr>
          <w:rFonts w:hint="eastAsia" w:hAnsi="宋体"/>
          <w:color w:val="auto"/>
          <w:szCs w:val="21"/>
          <w:highlight w:val="none"/>
        </w:rPr>
        <w:t>投标文件电子文件（U盘，须含盖章版PDF投标文件和WORD版投标文件各一版，文字采用WORD文档，计算表格采用 EXCEL文档。）</w:t>
      </w:r>
    </w:p>
    <w:p w14:paraId="7E01F35B">
      <w:pPr>
        <w:rPr>
          <w:rFonts w:ascii="宋体" w:hAnsi="宋体" w:cs="宋体"/>
          <w:color w:val="auto"/>
          <w:szCs w:val="21"/>
          <w:highlight w:val="none"/>
        </w:rPr>
      </w:pPr>
    </w:p>
    <w:p w14:paraId="45F37883">
      <w:pPr>
        <w:pStyle w:val="2"/>
        <w:rPr>
          <w:color w:val="auto"/>
          <w:highlight w:val="none"/>
        </w:rPr>
      </w:pPr>
    </w:p>
    <w:sectPr>
      <w:pgSz w:w="11906" w:h="16838"/>
      <w:pgMar w:top="1440" w:right="1800" w:bottom="1440" w:left="1800" w:header="708" w:footer="850" w:gutter="0"/>
      <w:pgNumType w:fmt="decimal"/>
      <w:cols w:space="708" w:num="1"/>
      <w:titlePg/>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方正书宋简体">
    <w:altName w:val="宋体"/>
    <w:panose1 w:val="000000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C0FD0">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4256B">
    <w:pPr>
      <w:pStyle w:val="1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E9E56A">
                          <w:pPr>
                            <w:pStyle w:val="19"/>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1E9E56A">
                    <w:pPr>
                      <w:pStyle w:val="19"/>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03380">
    <w:pPr>
      <w:pStyle w:val="19"/>
      <w:jc w:val="center"/>
    </w:pPr>
  </w:p>
  <w:p w14:paraId="3811E2B3">
    <w:pPr>
      <w:pStyle w:val="1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5B8BE">
    <w:pPr>
      <w:pStyle w:val="1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93C6D0">
                          <w:pPr>
                            <w:pStyle w:val="19"/>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93C6D0">
                    <w:pPr>
                      <w:pStyle w:val="19"/>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87B11">
    <w:pPr>
      <w:pStyle w:val="1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3DBCDB">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53DBCDB">
                    <w:pPr>
                      <w:pStyle w:val="19"/>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6097CB">
                          <w:pPr>
                            <w:pStyle w:val="19"/>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D6097CB">
                    <w:pPr>
                      <w:pStyle w:val="19"/>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DBA2B">
    <w:pPr>
      <w:pStyle w:val="20"/>
    </w:pPr>
    <w:r>
      <w:rPr>
        <w:sz w:val="18"/>
      </w:rPr>
      <w:pict>
        <v:shape id="PowerPlusWaterMarkObject20170" o:spid="_x0000_s4098" o:spt="136" type="#_x0000_t136" style="position:absolute;left:0pt;height:79.4pt;width:557.9pt;mso-position-horizontal:center;mso-position-horizontal-relative:margin;mso-position-vertical:center;mso-position-vertical-relative:margin;rotation:-2949120f;z-index:-251653120;mso-width-relative:page;mso-height-relative:page;" fillcolor="#C0C0C0" filled="t" stroked="f" coordsize="21600,21600" adj="10800">
          <v:path/>
          <v:fill on="t" opacity="32768f" focussize="0,0"/>
          <v:stroke on="f"/>
          <v:imagedata o:title=""/>
          <o:lock v:ext="edit" aspectratio="t"/>
          <v:textpath on="t" fitshape="t" fitpath="t" trim="t" xscale="f" string="东实环境20261019" style="font-family:楷体_GB2312;font-size:36pt;v-same-letter-heights:f;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7CB3D">
    <w:pPr>
      <w:pStyle w:val="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BEBD">
    <w:pPr>
      <w:pStyle w:val="20"/>
      <w:pBdr>
        <w:top w:val="none" w:color="auto" w:sz="0" w:space="0"/>
        <w:left w:val="none" w:color="auto" w:sz="0" w:space="0"/>
        <w:bottom w:val="none" w:color="auto" w:sz="0" w:space="1"/>
        <w:right w:val="none" w:color="auto" w:sz="0" w:space="0"/>
        <w:between w:val="none" w:color="auto" w:sz="0" w:space="0"/>
      </w:pBdr>
    </w:pPr>
    <w:r>
      <w:rPr>
        <w:sz w:val="18"/>
      </w:rPr>
      <w:pict>
        <v:shape id="PowerPlusWaterMarkObject40671" o:spid="_x0000_s4097" o:spt="136" type="#_x0000_t136" style="position:absolute;left:0pt;height:79.4pt;width:557.9pt;mso-position-horizontal:center;mso-position-horizontal-relative:margin;mso-position-vertical:center;mso-position-vertical-relative:margin;rotation:-2949120f;z-index:-251652096;mso-width-relative:page;mso-height-relative:page;" fillcolor="#C0C0C0" filled="t" stroked="f" coordsize="21600,21600" adj="10800">
          <v:path/>
          <v:fill on="t" opacity="32768f" focussize="0,0"/>
          <v:stroke on="f"/>
          <v:imagedata o:title=""/>
          <o:lock v:ext="edit" aspectratio="t"/>
          <v:textpath on="t" fitshape="t" fitpath="t" trim="t" xscale="f" string="东实环境20261019" style="font-family:楷体_GB2312;font-size:36pt;v-same-letter-heights:f;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C5990">
    <w:pPr>
      <w:pStyle w:val="20"/>
      <w:pBdr>
        <w:bottom w:val="none" w:color="auto" w:sz="0" w:space="1"/>
      </w:pBdr>
    </w:pPr>
    <w:r>
      <w:rPr>
        <w:sz w:val="18"/>
      </w:rPr>
      <w:pict>
        <v:shape id="PowerPlusWaterMarkObject62584" o:spid="_x0000_s4100" o:spt="136" type="#_x0000_t136" style="position:absolute;left:0pt;height:79.4pt;width:557.9pt;mso-position-horizontal:center;mso-position-horizontal-relative:margin;mso-position-vertical:center;mso-position-vertical-relative:margin;rotation:-2949120f;z-index:-251651072;mso-width-relative:page;mso-height-relative:page;" fillcolor="#C0C0C0" filled="t" stroked="f" coordsize="21600,21600" adj="10800">
          <v:path/>
          <v:fill on="t" opacity="32768f" focussize="0,0"/>
          <v:stroke on="f"/>
          <v:imagedata o:title=""/>
          <o:lock v:ext="edit" aspectratio="t"/>
          <v:textpath on="t" fitshape="t" fitpath="t" trim="t" xscale="f" string="东实环境20261019" style="font-family:楷体_GB2312;font-size:36pt;v-same-letter-heights:f;v-text-align:center;"/>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5BD0A">
    <w:pPr>
      <w:pStyle w:val="20"/>
    </w:pPr>
    <w:r>
      <w:rPr>
        <w:sz w:val="18"/>
      </w:rPr>
      <w:pict>
        <v:shape id="PowerPlusWaterMarkObject90519" o:spid="_x0000_s4099" o:spt="136" type="#_x0000_t136" style="position:absolute;left:0pt;height:79.4pt;width:557.9pt;mso-position-horizontal:center;mso-position-horizontal-relative:margin;mso-position-vertical:center;mso-position-vertical-relative:margin;rotation:-2949120f;z-index:-251650048;mso-width-relative:page;mso-height-relative:page;" fillcolor="#C0C0C0" filled="t" stroked="f" coordsize="21600,21600" adj="10800">
          <v:path/>
          <v:fill on="t" opacity="32768f" focussize="0,0"/>
          <v:stroke on="f"/>
          <v:imagedata o:title=""/>
          <o:lock v:ext="edit" aspectratio="t"/>
          <v:textpath on="t" fitshape="t" fitpath="t" trim="t" xscale="f" string="东实环境20261019" style="font-family:楷体_GB2312;font-size:36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555E15"/>
    <w:multiLevelType w:val="singleLevel"/>
    <w:tmpl w:val="C9555E15"/>
    <w:lvl w:ilvl="0" w:tentative="0">
      <w:start w:val="1"/>
      <w:numFmt w:val="decimal"/>
      <w:lvlText w:val="(%1)"/>
      <w:lvlJc w:val="left"/>
      <w:pPr>
        <w:ind w:left="425" w:hanging="425"/>
      </w:pPr>
      <w:rPr>
        <w:rFonts w:hint="default"/>
      </w:rPr>
    </w:lvl>
  </w:abstractNum>
  <w:abstractNum w:abstractNumId="1">
    <w:nsid w:val="CD65BB9C"/>
    <w:multiLevelType w:val="multilevel"/>
    <w:tmpl w:val="CD65BB9C"/>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suff w:val="space"/>
      <w:lvlText w:val="%1.%2.%3."/>
      <w:lvlJc w:val="left"/>
      <w:pPr>
        <w:ind w:left="566" w:hanging="566"/>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CFF174A5"/>
    <w:multiLevelType w:val="singleLevel"/>
    <w:tmpl w:val="CFF174A5"/>
    <w:lvl w:ilvl="0" w:tentative="0">
      <w:start w:val="1"/>
      <w:numFmt w:val="decimal"/>
      <w:suff w:val="nothing"/>
      <w:lvlText w:val="%1、"/>
      <w:lvlJc w:val="left"/>
    </w:lvl>
  </w:abstractNum>
  <w:abstractNum w:abstractNumId="3">
    <w:nsid w:val="D0047B7E"/>
    <w:multiLevelType w:val="singleLevel"/>
    <w:tmpl w:val="D0047B7E"/>
    <w:lvl w:ilvl="0" w:tentative="0">
      <w:start w:val="1"/>
      <w:numFmt w:val="decimal"/>
      <w:suff w:val="nothing"/>
      <w:lvlText w:val="%1、"/>
      <w:lvlJc w:val="left"/>
    </w:lvl>
  </w:abstractNum>
  <w:abstractNum w:abstractNumId="4">
    <w:nsid w:val="00000005"/>
    <w:multiLevelType w:val="multilevel"/>
    <w:tmpl w:val="00000005"/>
    <w:lvl w:ilvl="0" w:tentative="0">
      <w:start w:val="1"/>
      <w:numFmt w:val="decimal"/>
      <w:lvlText w:val="%1."/>
      <w:lvlJc w:val="left"/>
      <w:pPr>
        <w:tabs>
          <w:tab w:val="left" w:pos="0"/>
        </w:tabs>
        <w:ind w:left="0" w:firstLine="420"/>
      </w:pPr>
      <w:rPr>
        <w:rFonts w:hint="default"/>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25"/>
    <w:multiLevelType w:val="multilevel"/>
    <w:tmpl w:val="00000025"/>
    <w:lvl w:ilvl="0" w:tentative="0">
      <w:start w:val="1"/>
      <w:numFmt w:val="decimal"/>
      <w:lvlText w:val="%1"/>
      <w:lvlJc w:val="left"/>
      <w:pPr>
        <w:tabs>
          <w:tab w:val="left" w:pos="420"/>
        </w:tabs>
        <w:ind w:left="420" w:hanging="420"/>
      </w:pPr>
      <w:rPr>
        <w:rFonts w:hint="default"/>
        <w:u w:val="none"/>
      </w:rPr>
    </w:lvl>
    <w:lvl w:ilvl="1" w:tentative="0">
      <w:start w:val="1"/>
      <w:numFmt w:val="lowerLetter"/>
      <w:lvlText w:val="%2)"/>
      <w:lvlJc w:val="left"/>
      <w:pPr>
        <w:tabs>
          <w:tab w:val="left" w:pos="840"/>
        </w:tabs>
        <w:ind w:left="840" w:hanging="420"/>
      </w:pPr>
      <w:rPr>
        <w:rFonts w:hint="default"/>
        <w:u w:val="none"/>
      </w:rPr>
    </w:lvl>
    <w:lvl w:ilvl="2" w:tentative="0">
      <w:start w:val="1"/>
      <w:numFmt w:val="lowerRoman"/>
      <w:lvlText w:val="%3."/>
      <w:lvlJc w:val="right"/>
      <w:pPr>
        <w:tabs>
          <w:tab w:val="left" w:pos="1260"/>
        </w:tabs>
        <w:ind w:left="1260" w:hanging="420"/>
      </w:pPr>
      <w:rPr>
        <w:rFonts w:hint="default"/>
        <w:u w:val="none"/>
      </w:rPr>
    </w:lvl>
    <w:lvl w:ilvl="3" w:tentative="0">
      <w:start w:val="1"/>
      <w:numFmt w:val="decimal"/>
      <w:lvlText w:val="%4."/>
      <w:lvlJc w:val="left"/>
      <w:pPr>
        <w:tabs>
          <w:tab w:val="left" w:pos="1680"/>
        </w:tabs>
        <w:ind w:left="1680" w:hanging="420"/>
      </w:pPr>
      <w:rPr>
        <w:rFonts w:hint="default"/>
        <w:u w:val="none"/>
      </w:rPr>
    </w:lvl>
    <w:lvl w:ilvl="4" w:tentative="0">
      <w:start w:val="1"/>
      <w:numFmt w:val="lowerLetter"/>
      <w:lvlText w:val="%5)"/>
      <w:lvlJc w:val="left"/>
      <w:pPr>
        <w:tabs>
          <w:tab w:val="left" w:pos="2100"/>
        </w:tabs>
        <w:ind w:left="2100" w:hanging="420"/>
      </w:pPr>
      <w:rPr>
        <w:rFonts w:hint="default"/>
        <w:u w:val="none"/>
      </w:rPr>
    </w:lvl>
    <w:lvl w:ilvl="5" w:tentative="0">
      <w:start w:val="1"/>
      <w:numFmt w:val="lowerRoman"/>
      <w:lvlText w:val="%6."/>
      <w:lvlJc w:val="right"/>
      <w:pPr>
        <w:tabs>
          <w:tab w:val="left" w:pos="2520"/>
        </w:tabs>
        <w:ind w:left="2520" w:hanging="420"/>
      </w:pPr>
      <w:rPr>
        <w:rFonts w:hint="default"/>
        <w:u w:val="none"/>
      </w:rPr>
    </w:lvl>
    <w:lvl w:ilvl="6" w:tentative="0">
      <w:start w:val="1"/>
      <w:numFmt w:val="decimal"/>
      <w:lvlText w:val="%7."/>
      <w:lvlJc w:val="left"/>
      <w:pPr>
        <w:tabs>
          <w:tab w:val="left" w:pos="2940"/>
        </w:tabs>
        <w:ind w:left="2940" w:hanging="420"/>
      </w:pPr>
      <w:rPr>
        <w:rFonts w:hint="default"/>
        <w:u w:val="none"/>
      </w:rPr>
    </w:lvl>
    <w:lvl w:ilvl="7" w:tentative="0">
      <w:start w:val="1"/>
      <w:numFmt w:val="lowerLetter"/>
      <w:lvlText w:val="%8)"/>
      <w:lvlJc w:val="left"/>
      <w:pPr>
        <w:tabs>
          <w:tab w:val="left" w:pos="3360"/>
        </w:tabs>
        <w:ind w:left="3360" w:hanging="420"/>
      </w:pPr>
      <w:rPr>
        <w:rFonts w:hint="default"/>
        <w:u w:val="none"/>
      </w:rPr>
    </w:lvl>
    <w:lvl w:ilvl="8" w:tentative="0">
      <w:start w:val="1"/>
      <w:numFmt w:val="lowerRoman"/>
      <w:lvlText w:val="%9."/>
      <w:lvlJc w:val="right"/>
      <w:pPr>
        <w:tabs>
          <w:tab w:val="left" w:pos="3780"/>
        </w:tabs>
        <w:ind w:left="3780" w:hanging="420"/>
      </w:pPr>
      <w:rPr>
        <w:rFonts w:hint="default"/>
        <w:u w:val="none"/>
      </w:rPr>
    </w:lvl>
  </w:abstractNum>
  <w:abstractNum w:abstractNumId="6">
    <w:nsid w:val="20D2348B"/>
    <w:multiLevelType w:val="singleLevel"/>
    <w:tmpl w:val="20D2348B"/>
    <w:lvl w:ilvl="0" w:tentative="0">
      <w:start w:val="1"/>
      <w:numFmt w:val="chineseCounting"/>
      <w:suff w:val="nothing"/>
      <w:lvlText w:val="（%1）"/>
      <w:lvlJc w:val="left"/>
      <w:rPr>
        <w:rFonts w:hint="eastAsia"/>
      </w:rPr>
    </w:lvl>
  </w:abstractNum>
  <w:abstractNum w:abstractNumId="7">
    <w:nsid w:val="3F88662E"/>
    <w:multiLevelType w:val="singleLevel"/>
    <w:tmpl w:val="3F88662E"/>
    <w:lvl w:ilvl="0" w:tentative="0">
      <w:start w:val="1"/>
      <w:numFmt w:val="decimal"/>
      <w:suff w:val="space"/>
      <w:lvlText w:val="%1)"/>
      <w:lvlJc w:val="left"/>
    </w:lvl>
  </w:abstractNum>
  <w:abstractNum w:abstractNumId="8">
    <w:nsid w:val="580745EB"/>
    <w:multiLevelType w:val="multilevel"/>
    <w:tmpl w:val="580745EB"/>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9C5D728"/>
    <w:multiLevelType w:val="singleLevel"/>
    <w:tmpl w:val="59C5D728"/>
    <w:lvl w:ilvl="0" w:tentative="0">
      <w:start w:val="1"/>
      <w:numFmt w:val="chineseCounting"/>
      <w:suff w:val="nothing"/>
      <w:lvlText w:val="%1、"/>
      <w:lvlJc w:val="left"/>
      <w:pPr>
        <w:ind w:left="0" w:firstLine="420"/>
      </w:pPr>
      <w:rPr>
        <w:rFonts w:hint="eastAsia"/>
      </w:rPr>
    </w:lvl>
  </w:abstractNum>
  <w:abstractNum w:abstractNumId="10">
    <w:nsid w:val="5C183DB0"/>
    <w:multiLevelType w:val="multilevel"/>
    <w:tmpl w:val="5C183DB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D1539A1"/>
    <w:multiLevelType w:val="multilevel"/>
    <w:tmpl w:val="5D1539A1"/>
    <w:lvl w:ilvl="0" w:tentative="0">
      <w:start w:val="1"/>
      <w:numFmt w:val="decimal"/>
      <w:lvlText w:val="（%1）"/>
      <w:lvlJc w:val="left"/>
      <w:pPr>
        <w:ind w:left="1287" w:hanging="720"/>
      </w:pPr>
      <w:rPr>
        <w:rFonts w:hint="default"/>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8"/>
  </w:num>
  <w:num w:numId="2">
    <w:abstractNumId w:val="1"/>
  </w:num>
  <w:num w:numId="3">
    <w:abstractNumId w:val="11"/>
  </w:num>
  <w:num w:numId="4">
    <w:abstractNumId w:val="7"/>
  </w:num>
  <w:num w:numId="5">
    <w:abstractNumId w:val="5"/>
  </w:num>
  <w:num w:numId="6">
    <w:abstractNumId w:val="0"/>
  </w:num>
  <w:num w:numId="7">
    <w:abstractNumId w:val="2"/>
  </w:num>
  <w:num w:numId="8">
    <w:abstractNumId w:val="4"/>
  </w:num>
  <w:num w:numId="9">
    <w:abstractNumId w:val="6"/>
  </w:num>
  <w:num w:numId="10">
    <w:abstractNumId w:val="3"/>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trackRevisions w:val="1"/>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yY2Y5Y2UxZjkwY2NiYzg1MTM4ZmQzOTFhYWJhY2IifQ=="/>
    <w:docVar w:name="KSO_WPS_MARK_KEY" w:val="2150efe9-5203-4c84-9a1e-112a3b69fe49"/>
  </w:docVars>
  <w:rsids>
    <w:rsidRoot w:val="00172A27"/>
    <w:rsid w:val="00005A66"/>
    <w:rsid w:val="00006462"/>
    <w:rsid w:val="000300E4"/>
    <w:rsid w:val="0003307E"/>
    <w:rsid w:val="000336BA"/>
    <w:rsid w:val="000359A1"/>
    <w:rsid w:val="0005185D"/>
    <w:rsid w:val="0007500F"/>
    <w:rsid w:val="0008282E"/>
    <w:rsid w:val="00084F6D"/>
    <w:rsid w:val="00093A13"/>
    <w:rsid w:val="000A363F"/>
    <w:rsid w:val="000A42A8"/>
    <w:rsid w:val="000A5063"/>
    <w:rsid w:val="000A5DBD"/>
    <w:rsid w:val="000C4524"/>
    <w:rsid w:val="000D44A6"/>
    <w:rsid w:val="000E2CB7"/>
    <w:rsid w:val="000E3FC3"/>
    <w:rsid w:val="000F0E98"/>
    <w:rsid w:val="000F1444"/>
    <w:rsid w:val="001049A5"/>
    <w:rsid w:val="001120E0"/>
    <w:rsid w:val="00121ADA"/>
    <w:rsid w:val="001242F3"/>
    <w:rsid w:val="001332BB"/>
    <w:rsid w:val="00134CAD"/>
    <w:rsid w:val="001368B7"/>
    <w:rsid w:val="0013730B"/>
    <w:rsid w:val="00137853"/>
    <w:rsid w:val="00137E1C"/>
    <w:rsid w:val="00147012"/>
    <w:rsid w:val="00172A27"/>
    <w:rsid w:val="00173126"/>
    <w:rsid w:val="00173905"/>
    <w:rsid w:val="00173E04"/>
    <w:rsid w:val="00175D29"/>
    <w:rsid w:val="001833A1"/>
    <w:rsid w:val="001844F4"/>
    <w:rsid w:val="00185039"/>
    <w:rsid w:val="001852D7"/>
    <w:rsid w:val="001A06D8"/>
    <w:rsid w:val="001A1568"/>
    <w:rsid w:val="001A2D42"/>
    <w:rsid w:val="001A2EF7"/>
    <w:rsid w:val="001B1F14"/>
    <w:rsid w:val="001B41CF"/>
    <w:rsid w:val="001B5860"/>
    <w:rsid w:val="001C1135"/>
    <w:rsid w:val="001C15AE"/>
    <w:rsid w:val="001C4661"/>
    <w:rsid w:val="001C5689"/>
    <w:rsid w:val="001C6E4B"/>
    <w:rsid w:val="001F0070"/>
    <w:rsid w:val="001F4B02"/>
    <w:rsid w:val="001F6BC7"/>
    <w:rsid w:val="002065A7"/>
    <w:rsid w:val="0021149E"/>
    <w:rsid w:val="00213021"/>
    <w:rsid w:val="00216BE9"/>
    <w:rsid w:val="0022165B"/>
    <w:rsid w:val="00221E7A"/>
    <w:rsid w:val="0022503E"/>
    <w:rsid w:val="00225BB4"/>
    <w:rsid w:val="00226313"/>
    <w:rsid w:val="002373BB"/>
    <w:rsid w:val="00240F5F"/>
    <w:rsid w:val="00247224"/>
    <w:rsid w:val="00247AE0"/>
    <w:rsid w:val="00260AC1"/>
    <w:rsid w:val="0026312D"/>
    <w:rsid w:val="0027078E"/>
    <w:rsid w:val="0028395F"/>
    <w:rsid w:val="00284156"/>
    <w:rsid w:val="00285643"/>
    <w:rsid w:val="002867A1"/>
    <w:rsid w:val="002901F8"/>
    <w:rsid w:val="002920A4"/>
    <w:rsid w:val="002B4087"/>
    <w:rsid w:val="002B5F6C"/>
    <w:rsid w:val="002C6C78"/>
    <w:rsid w:val="002D1594"/>
    <w:rsid w:val="002D3F9C"/>
    <w:rsid w:val="002D503C"/>
    <w:rsid w:val="002D7E27"/>
    <w:rsid w:val="002E17E5"/>
    <w:rsid w:val="002E6B7E"/>
    <w:rsid w:val="002F0FC9"/>
    <w:rsid w:val="0030669E"/>
    <w:rsid w:val="003101A3"/>
    <w:rsid w:val="00320CEA"/>
    <w:rsid w:val="00323B43"/>
    <w:rsid w:val="00326831"/>
    <w:rsid w:val="003274CE"/>
    <w:rsid w:val="003361E9"/>
    <w:rsid w:val="003430F6"/>
    <w:rsid w:val="00353842"/>
    <w:rsid w:val="0035595E"/>
    <w:rsid w:val="00381C26"/>
    <w:rsid w:val="0038564C"/>
    <w:rsid w:val="00387CE4"/>
    <w:rsid w:val="00393B1D"/>
    <w:rsid w:val="003A1D97"/>
    <w:rsid w:val="003C18EB"/>
    <w:rsid w:val="003C1E4E"/>
    <w:rsid w:val="003C32D3"/>
    <w:rsid w:val="003C3B19"/>
    <w:rsid w:val="003C412B"/>
    <w:rsid w:val="003C415C"/>
    <w:rsid w:val="003D36FB"/>
    <w:rsid w:val="003D37D8"/>
    <w:rsid w:val="003E0802"/>
    <w:rsid w:val="003E18E7"/>
    <w:rsid w:val="003E2B8C"/>
    <w:rsid w:val="003F46B4"/>
    <w:rsid w:val="003F4822"/>
    <w:rsid w:val="00401C64"/>
    <w:rsid w:val="00401CC0"/>
    <w:rsid w:val="00410AB5"/>
    <w:rsid w:val="00410F11"/>
    <w:rsid w:val="00411067"/>
    <w:rsid w:val="004203B9"/>
    <w:rsid w:val="004322A2"/>
    <w:rsid w:val="004358AB"/>
    <w:rsid w:val="00451EB4"/>
    <w:rsid w:val="00460B31"/>
    <w:rsid w:val="00462105"/>
    <w:rsid w:val="00475A80"/>
    <w:rsid w:val="00475BB4"/>
    <w:rsid w:val="00490B9E"/>
    <w:rsid w:val="00497577"/>
    <w:rsid w:val="004A05D7"/>
    <w:rsid w:val="004A2B28"/>
    <w:rsid w:val="004A69F1"/>
    <w:rsid w:val="004B3550"/>
    <w:rsid w:val="004B3F06"/>
    <w:rsid w:val="004C7FD6"/>
    <w:rsid w:val="004D08C0"/>
    <w:rsid w:val="004D1669"/>
    <w:rsid w:val="004D1736"/>
    <w:rsid w:val="004D51A2"/>
    <w:rsid w:val="004D5AFB"/>
    <w:rsid w:val="004E04FD"/>
    <w:rsid w:val="004F1BB7"/>
    <w:rsid w:val="0050759C"/>
    <w:rsid w:val="00510827"/>
    <w:rsid w:val="005267F1"/>
    <w:rsid w:val="005269A9"/>
    <w:rsid w:val="00532034"/>
    <w:rsid w:val="00545D9A"/>
    <w:rsid w:val="00546A42"/>
    <w:rsid w:val="0055408D"/>
    <w:rsid w:val="0057492D"/>
    <w:rsid w:val="0058523E"/>
    <w:rsid w:val="00590819"/>
    <w:rsid w:val="00593D68"/>
    <w:rsid w:val="005A208B"/>
    <w:rsid w:val="005A555E"/>
    <w:rsid w:val="005A7612"/>
    <w:rsid w:val="005B58A6"/>
    <w:rsid w:val="005C57E1"/>
    <w:rsid w:val="005C702E"/>
    <w:rsid w:val="005D01B8"/>
    <w:rsid w:val="005D066B"/>
    <w:rsid w:val="005D2D85"/>
    <w:rsid w:val="005D52E7"/>
    <w:rsid w:val="005F021D"/>
    <w:rsid w:val="005F20A4"/>
    <w:rsid w:val="005F4EAE"/>
    <w:rsid w:val="005F573A"/>
    <w:rsid w:val="005F660B"/>
    <w:rsid w:val="005F7EB1"/>
    <w:rsid w:val="00604B81"/>
    <w:rsid w:val="0061246F"/>
    <w:rsid w:val="00613417"/>
    <w:rsid w:val="00613B25"/>
    <w:rsid w:val="0061545F"/>
    <w:rsid w:val="006175DE"/>
    <w:rsid w:val="006215AC"/>
    <w:rsid w:val="00621821"/>
    <w:rsid w:val="00622362"/>
    <w:rsid w:val="00622497"/>
    <w:rsid w:val="006276AD"/>
    <w:rsid w:val="006347A6"/>
    <w:rsid w:val="006378D4"/>
    <w:rsid w:val="00641E8C"/>
    <w:rsid w:val="0064416A"/>
    <w:rsid w:val="006476E3"/>
    <w:rsid w:val="00650DDC"/>
    <w:rsid w:val="00652983"/>
    <w:rsid w:val="0065365D"/>
    <w:rsid w:val="006546D0"/>
    <w:rsid w:val="006576FD"/>
    <w:rsid w:val="00664F6B"/>
    <w:rsid w:val="006731D2"/>
    <w:rsid w:val="00680EB0"/>
    <w:rsid w:val="00682986"/>
    <w:rsid w:val="00691701"/>
    <w:rsid w:val="00691AE0"/>
    <w:rsid w:val="0069491E"/>
    <w:rsid w:val="006B004E"/>
    <w:rsid w:val="006B3E6C"/>
    <w:rsid w:val="006B4832"/>
    <w:rsid w:val="006B7878"/>
    <w:rsid w:val="006C14BD"/>
    <w:rsid w:val="006C28E5"/>
    <w:rsid w:val="006C67A9"/>
    <w:rsid w:val="006D393E"/>
    <w:rsid w:val="006D43C5"/>
    <w:rsid w:val="006D4AD8"/>
    <w:rsid w:val="006E0B58"/>
    <w:rsid w:val="006E0C4B"/>
    <w:rsid w:val="00704F7B"/>
    <w:rsid w:val="007110BA"/>
    <w:rsid w:val="00711465"/>
    <w:rsid w:val="00716E96"/>
    <w:rsid w:val="00723B11"/>
    <w:rsid w:val="007343A7"/>
    <w:rsid w:val="00734BB2"/>
    <w:rsid w:val="00737823"/>
    <w:rsid w:val="0075028E"/>
    <w:rsid w:val="007528A6"/>
    <w:rsid w:val="007608B9"/>
    <w:rsid w:val="007724B4"/>
    <w:rsid w:val="0077462B"/>
    <w:rsid w:val="007902ED"/>
    <w:rsid w:val="007916E7"/>
    <w:rsid w:val="00797C5D"/>
    <w:rsid w:val="00797D2F"/>
    <w:rsid w:val="007A34B9"/>
    <w:rsid w:val="007A3EF1"/>
    <w:rsid w:val="007A4DB3"/>
    <w:rsid w:val="007A6F47"/>
    <w:rsid w:val="007A7779"/>
    <w:rsid w:val="007C4F46"/>
    <w:rsid w:val="007C7297"/>
    <w:rsid w:val="007D1B4F"/>
    <w:rsid w:val="007D2F9E"/>
    <w:rsid w:val="007D3175"/>
    <w:rsid w:val="007D48BF"/>
    <w:rsid w:val="007D5C45"/>
    <w:rsid w:val="007E2543"/>
    <w:rsid w:val="007E4A26"/>
    <w:rsid w:val="007E7A17"/>
    <w:rsid w:val="007F01B0"/>
    <w:rsid w:val="007F259D"/>
    <w:rsid w:val="007F2CD8"/>
    <w:rsid w:val="007F4DC5"/>
    <w:rsid w:val="00806380"/>
    <w:rsid w:val="0081104F"/>
    <w:rsid w:val="0081319A"/>
    <w:rsid w:val="00822299"/>
    <w:rsid w:val="0083486A"/>
    <w:rsid w:val="00837E35"/>
    <w:rsid w:val="00841378"/>
    <w:rsid w:val="00842B87"/>
    <w:rsid w:val="00845BEB"/>
    <w:rsid w:val="008472E6"/>
    <w:rsid w:val="008518B4"/>
    <w:rsid w:val="00853463"/>
    <w:rsid w:val="008548BD"/>
    <w:rsid w:val="0086026F"/>
    <w:rsid w:val="008640F5"/>
    <w:rsid w:val="0087704E"/>
    <w:rsid w:val="008907DA"/>
    <w:rsid w:val="008A0587"/>
    <w:rsid w:val="008A7273"/>
    <w:rsid w:val="008B55B9"/>
    <w:rsid w:val="008B7726"/>
    <w:rsid w:val="008C05BA"/>
    <w:rsid w:val="008D429E"/>
    <w:rsid w:val="008D5A10"/>
    <w:rsid w:val="008E2524"/>
    <w:rsid w:val="008E319F"/>
    <w:rsid w:val="008E619C"/>
    <w:rsid w:val="008F6E0E"/>
    <w:rsid w:val="00906F49"/>
    <w:rsid w:val="00907417"/>
    <w:rsid w:val="00914604"/>
    <w:rsid w:val="00916A34"/>
    <w:rsid w:val="0092092D"/>
    <w:rsid w:val="00923533"/>
    <w:rsid w:val="00930A38"/>
    <w:rsid w:val="00934170"/>
    <w:rsid w:val="00942948"/>
    <w:rsid w:val="009474B5"/>
    <w:rsid w:val="00953E98"/>
    <w:rsid w:val="00960F22"/>
    <w:rsid w:val="00972D86"/>
    <w:rsid w:val="009736BF"/>
    <w:rsid w:val="0097392B"/>
    <w:rsid w:val="00976066"/>
    <w:rsid w:val="00980A66"/>
    <w:rsid w:val="009904F7"/>
    <w:rsid w:val="009910F6"/>
    <w:rsid w:val="009A07B1"/>
    <w:rsid w:val="009A6B4A"/>
    <w:rsid w:val="009A7058"/>
    <w:rsid w:val="009C19DE"/>
    <w:rsid w:val="009C23A6"/>
    <w:rsid w:val="009C5206"/>
    <w:rsid w:val="009C6AD9"/>
    <w:rsid w:val="009E398C"/>
    <w:rsid w:val="009E6F05"/>
    <w:rsid w:val="009F644E"/>
    <w:rsid w:val="009F6A05"/>
    <w:rsid w:val="00A01BE2"/>
    <w:rsid w:val="00A10906"/>
    <w:rsid w:val="00A12E66"/>
    <w:rsid w:val="00A13E78"/>
    <w:rsid w:val="00A14EEF"/>
    <w:rsid w:val="00A23304"/>
    <w:rsid w:val="00A275C2"/>
    <w:rsid w:val="00A3295D"/>
    <w:rsid w:val="00A4012F"/>
    <w:rsid w:val="00A4190E"/>
    <w:rsid w:val="00A42E91"/>
    <w:rsid w:val="00A50383"/>
    <w:rsid w:val="00A61230"/>
    <w:rsid w:val="00A668C8"/>
    <w:rsid w:val="00A742A5"/>
    <w:rsid w:val="00A74ED3"/>
    <w:rsid w:val="00A813C5"/>
    <w:rsid w:val="00A824E6"/>
    <w:rsid w:val="00A832CD"/>
    <w:rsid w:val="00A858DC"/>
    <w:rsid w:val="00A94D14"/>
    <w:rsid w:val="00AA0EAD"/>
    <w:rsid w:val="00AB19CE"/>
    <w:rsid w:val="00AB2133"/>
    <w:rsid w:val="00AB3969"/>
    <w:rsid w:val="00AC0E7A"/>
    <w:rsid w:val="00AC187B"/>
    <w:rsid w:val="00AE310E"/>
    <w:rsid w:val="00AE4FC5"/>
    <w:rsid w:val="00AF1B1B"/>
    <w:rsid w:val="00AF5F1F"/>
    <w:rsid w:val="00B027A4"/>
    <w:rsid w:val="00B04202"/>
    <w:rsid w:val="00B236B3"/>
    <w:rsid w:val="00B26806"/>
    <w:rsid w:val="00B31B24"/>
    <w:rsid w:val="00B4287F"/>
    <w:rsid w:val="00B4315F"/>
    <w:rsid w:val="00B43306"/>
    <w:rsid w:val="00B60DAB"/>
    <w:rsid w:val="00B61CB1"/>
    <w:rsid w:val="00B63189"/>
    <w:rsid w:val="00B67B5C"/>
    <w:rsid w:val="00B7194E"/>
    <w:rsid w:val="00B73575"/>
    <w:rsid w:val="00B7380A"/>
    <w:rsid w:val="00B763B0"/>
    <w:rsid w:val="00B91005"/>
    <w:rsid w:val="00B92951"/>
    <w:rsid w:val="00B93045"/>
    <w:rsid w:val="00B93169"/>
    <w:rsid w:val="00B950B6"/>
    <w:rsid w:val="00BA4130"/>
    <w:rsid w:val="00BB2CAF"/>
    <w:rsid w:val="00BB79B5"/>
    <w:rsid w:val="00BC3E74"/>
    <w:rsid w:val="00BD630F"/>
    <w:rsid w:val="00BD7C1B"/>
    <w:rsid w:val="00BE0825"/>
    <w:rsid w:val="00BE2EE6"/>
    <w:rsid w:val="00BF17FD"/>
    <w:rsid w:val="00BF2820"/>
    <w:rsid w:val="00BF41D4"/>
    <w:rsid w:val="00BF5AFB"/>
    <w:rsid w:val="00C16734"/>
    <w:rsid w:val="00C17B47"/>
    <w:rsid w:val="00C25C77"/>
    <w:rsid w:val="00C303E7"/>
    <w:rsid w:val="00C319C2"/>
    <w:rsid w:val="00C53CE5"/>
    <w:rsid w:val="00C612F8"/>
    <w:rsid w:val="00C62E44"/>
    <w:rsid w:val="00C63BD8"/>
    <w:rsid w:val="00C65954"/>
    <w:rsid w:val="00C7126B"/>
    <w:rsid w:val="00C72C24"/>
    <w:rsid w:val="00C73468"/>
    <w:rsid w:val="00C74986"/>
    <w:rsid w:val="00C80EC4"/>
    <w:rsid w:val="00C8568E"/>
    <w:rsid w:val="00CA32B5"/>
    <w:rsid w:val="00CB57AD"/>
    <w:rsid w:val="00CC009D"/>
    <w:rsid w:val="00CC584A"/>
    <w:rsid w:val="00CC5E4E"/>
    <w:rsid w:val="00CD0EAB"/>
    <w:rsid w:val="00CE2AF3"/>
    <w:rsid w:val="00CE621D"/>
    <w:rsid w:val="00CE66E8"/>
    <w:rsid w:val="00D05388"/>
    <w:rsid w:val="00D114CD"/>
    <w:rsid w:val="00D14476"/>
    <w:rsid w:val="00D232FF"/>
    <w:rsid w:val="00D279AA"/>
    <w:rsid w:val="00D31215"/>
    <w:rsid w:val="00D34544"/>
    <w:rsid w:val="00D34841"/>
    <w:rsid w:val="00D4444E"/>
    <w:rsid w:val="00D44A97"/>
    <w:rsid w:val="00D45C0C"/>
    <w:rsid w:val="00D508A5"/>
    <w:rsid w:val="00D5104B"/>
    <w:rsid w:val="00D555D8"/>
    <w:rsid w:val="00D60778"/>
    <w:rsid w:val="00D63EB2"/>
    <w:rsid w:val="00D64D28"/>
    <w:rsid w:val="00D6604D"/>
    <w:rsid w:val="00D677F1"/>
    <w:rsid w:val="00D74601"/>
    <w:rsid w:val="00D83E46"/>
    <w:rsid w:val="00D847B6"/>
    <w:rsid w:val="00D93958"/>
    <w:rsid w:val="00D951D3"/>
    <w:rsid w:val="00DA1DB9"/>
    <w:rsid w:val="00DA6169"/>
    <w:rsid w:val="00DA7B28"/>
    <w:rsid w:val="00DB5480"/>
    <w:rsid w:val="00DB6317"/>
    <w:rsid w:val="00DC2FC5"/>
    <w:rsid w:val="00DC5AD9"/>
    <w:rsid w:val="00DC691F"/>
    <w:rsid w:val="00DD02DE"/>
    <w:rsid w:val="00DD07B7"/>
    <w:rsid w:val="00DD113C"/>
    <w:rsid w:val="00DD324C"/>
    <w:rsid w:val="00DE0BEB"/>
    <w:rsid w:val="00DE4856"/>
    <w:rsid w:val="00DF485B"/>
    <w:rsid w:val="00E0295D"/>
    <w:rsid w:val="00E042BC"/>
    <w:rsid w:val="00E132FE"/>
    <w:rsid w:val="00E21B77"/>
    <w:rsid w:val="00E23352"/>
    <w:rsid w:val="00E40CAD"/>
    <w:rsid w:val="00E40DC7"/>
    <w:rsid w:val="00E4215F"/>
    <w:rsid w:val="00E61D2E"/>
    <w:rsid w:val="00E62B7F"/>
    <w:rsid w:val="00E7066D"/>
    <w:rsid w:val="00E726BC"/>
    <w:rsid w:val="00E72821"/>
    <w:rsid w:val="00E75C82"/>
    <w:rsid w:val="00E81DDC"/>
    <w:rsid w:val="00E81F67"/>
    <w:rsid w:val="00E83650"/>
    <w:rsid w:val="00E83A31"/>
    <w:rsid w:val="00E93BF5"/>
    <w:rsid w:val="00E97CC0"/>
    <w:rsid w:val="00EA22B8"/>
    <w:rsid w:val="00EA2524"/>
    <w:rsid w:val="00EA33E7"/>
    <w:rsid w:val="00EC092D"/>
    <w:rsid w:val="00EC0DF8"/>
    <w:rsid w:val="00EC7F91"/>
    <w:rsid w:val="00ED378B"/>
    <w:rsid w:val="00EE08F9"/>
    <w:rsid w:val="00EE70B3"/>
    <w:rsid w:val="00EF24AA"/>
    <w:rsid w:val="00EF728A"/>
    <w:rsid w:val="00EF7D0D"/>
    <w:rsid w:val="00F00FF7"/>
    <w:rsid w:val="00F02093"/>
    <w:rsid w:val="00F068E3"/>
    <w:rsid w:val="00F10B5F"/>
    <w:rsid w:val="00F218C1"/>
    <w:rsid w:val="00F321EB"/>
    <w:rsid w:val="00F32B00"/>
    <w:rsid w:val="00F346CF"/>
    <w:rsid w:val="00F3610C"/>
    <w:rsid w:val="00F36839"/>
    <w:rsid w:val="00F52A5F"/>
    <w:rsid w:val="00F55954"/>
    <w:rsid w:val="00F57308"/>
    <w:rsid w:val="00F61962"/>
    <w:rsid w:val="00F62865"/>
    <w:rsid w:val="00F64022"/>
    <w:rsid w:val="00F64660"/>
    <w:rsid w:val="00F74FF3"/>
    <w:rsid w:val="00F97062"/>
    <w:rsid w:val="00F9745D"/>
    <w:rsid w:val="00FA07A9"/>
    <w:rsid w:val="00FA54B2"/>
    <w:rsid w:val="00FC0FCB"/>
    <w:rsid w:val="00FC529F"/>
    <w:rsid w:val="00FC66E1"/>
    <w:rsid w:val="00FC7B53"/>
    <w:rsid w:val="00FD48CC"/>
    <w:rsid w:val="00FE62D1"/>
    <w:rsid w:val="00FE7B94"/>
    <w:rsid w:val="00FF0736"/>
    <w:rsid w:val="00FF2515"/>
    <w:rsid w:val="00FF26BF"/>
    <w:rsid w:val="013C51B0"/>
    <w:rsid w:val="01651C23"/>
    <w:rsid w:val="018023CE"/>
    <w:rsid w:val="01881AD6"/>
    <w:rsid w:val="019127B6"/>
    <w:rsid w:val="01B71A01"/>
    <w:rsid w:val="01DC03CE"/>
    <w:rsid w:val="01E36F4E"/>
    <w:rsid w:val="01EE0DCA"/>
    <w:rsid w:val="0208150E"/>
    <w:rsid w:val="02287D63"/>
    <w:rsid w:val="024179E7"/>
    <w:rsid w:val="0246437B"/>
    <w:rsid w:val="02985CD5"/>
    <w:rsid w:val="02A23F5D"/>
    <w:rsid w:val="02A741FD"/>
    <w:rsid w:val="02C16E5D"/>
    <w:rsid w:val="02D964CF"/>
    <w:rsid w:val="02DE5ECF"/>
    <w:rsid w:val="032E6AB8"/>
    <w:rsid w:val="03707410"/>
    <w:rsid w:val="039170C0"/>
    <w:rsid w:val="039240A3"/>
    <w:rsid w:val="03A0770F"/>
    <w:rsid w:val="03A27726"/>
    <w:rsid w:val="03A448B8"/>
    <w:rsid w:val="03AD1AEE"/>
    <w:rsid w:val="03B34A78"/>
    <w:rsid w:val="03C01631"/>
    <w:rsid w:val="03C656A9"/>
    <w:rsid w:val="03F33148"/>
    <w:rsid w:val="042F3419"/>
    <w:rsid w:val="04491596"/>
    <w:rsid w:val="04684732"/>
    <w:rsid w:val="047055C3"/>
    <w:rsid w:val="0478689E"/>
    <w:rsid w:val="047B4012"/>
    <w:rsid w:val="04822497"/>
    <w:rsid w:val="04974587"/>
    <w:rsid w:val="049A0C65"/>
    <w:rsid w:val="04A07C4B"/>
    <w:rsid w:val="04DF1036"/>
    <w:rsid w:val="04E24985"/>
    <w:rsid w:val="050C01DF"/>
    <w:rsid w:val="05316537"/>
    <w:rsid w:val="053A5A77"/>
    <w:rsid w:val="0599183C"/>
    <w:rsid w:val="05A97DEC"/>
    <w:rsid w:val="05B23978"/>
    <w:rsid w:val="05C81981"/>
    <w:rsid w:val="05F46DC1"/>
    <w:rsid w:val="05FC20B9"/>
    <w:rsid w:val="060043AE"/>
    <w:rsid w:val="060C3203"/>
    <w:rsid w:val="06281344"/>
    <w:rsid w:val="062D4EC8"/>
    <w:rsid w:val="063806BC"/>
    <w:rsid w:val="069B4E4A"/>
    <w:rsid w:val="06A26008"/>
    <w:rsid w:val="06BC41F2"/>
    <w:rsid w:val="06D55601"/>
    <w:rsid w:val="06F415CC"/>
    <w:rsid w:val="070E26CD"/>
    <w:rsid w:val="07197D08"/>
    <w:rsid w:val="071E5C55"/>
    <w:rsid w:val="072F3C41"/>
    <w:rsid w:val="075C1FE5"/>
    <w:rsid w:val="077005AB"/>
    <w:rsid w:val="07805172"/>
    <w:rsid w:val="078F4581"/>
    <w:rsid w:val="07A715F3"/>
    <w:rsid w:val="07BF027F"/>
    <w:rsid w:val="07C6595A"/>
    <w:rsid w:val="07F06C60"/>
    <w:rsid w:val="08031A31"/>
    <w:rsid w:val="080E2872"/>
    <w:rsid w:val="08420CAE"/>
    <w:rsid w:val="089A5AE8"/>
    <w:rsid w:val="09061A75"/>
    <w:rsid w:val="09182241"/>
    <w:rsid w:val="09325D4D"/>
    <w:rsid w:val="094737BC"/>
    <w:rsid w:val="095F1030"/>
    <w:rsid w:val="09855177"/>
    <w:rsid w:val="09A17D47"/>
    <w:rsid w:val="09CF4A73"/>
    <w:rsid w:val="09EE5125"/>
    <w:rsid w:val="0A18288F"/>
    <w:rsid w:val="0A352804"/>
    <w:rsid w:val="0A3D7585"/>
    <w:rsid w:val="0A462748"/>
    <w:rsid w:val="0A4D0C81"/>
    <w:rsid w:val="0A723E95"/>
    <w:rsid w:val="0A733243"/>
    <w:rsid w:val="0AA534D5"/>
    <w:rsid w:val="0AA650EB"/>
    <w:rsid w:val="0AA7129C"/>
    <w:rsid w:val="0ADE5C60"/>
    <w:rsid w:val="0ADF1C2C"/>
    <w:rsid w:val="0AF47339"/>
    <w:rsid w:val="0B121934"/>
    <w:rsid w:val="0B195FA1"/>
    <w:rsid w:val="0B1F4D52"/>
    <w:rsid w:val="0B22594B"/>
    <w:rsid w:val="0B27506F"/>
    <w:rsid w:val="0B3061AD"/>
    <w:rsid w:val="0B587307"/>
    <w:rsid w:val="0B9610F4"/>
    <w:rsid w:val="0BBF77A4"/>
    <w:rsid w:val="0BD16C8D"/>
    <w:rsid w:val="0BDF26F7"/>
    <w:rsid w:val="0C027DB2"/>
    <w:rsid w:val="0C13779A"/>
    <w:rsid w:val="0C2B4952"/>
    <w:rsid w:val="0C455FBD"/>
    <w:rsid w:val="0C516C55"/>
    <w:rsid w:val="0C5D161C"/>
    <w:rsid w:val="0C7B2220"/>
    <w:rsid w:val="0CB67D83"/>
    <w:rsid w:val="0CCF79BE"/>
    <w:rsid w:val="0CD20599"/>
    <w:rsid w:val="0CE53018"/>
    <w:rsid w:val="0D031444"/>
    <w:rsid w:val="0D0B5B12"/>
    <w:rsid w:val="0D133046"/>
    <w:rsid w:val="0D153F28"/>
    <w:rsid w:val="0D15754E"/>
    <w:rsid w:val="0D2D75C9"/>
    <w:rsid w:val="0D305390"/>
    <w:rsid w:val="0D3A0F98"/>
    <w:rsid w:val="0D4C3141"/>
    <w:rsid w:val="0D56766D"/>
    <w:rsid w:val="0D5D37FD"/>
    <w:rsid w:val="0D5D5C42"/>
    <w:rsid w:val="0D6A4502"/>
    <w:rsid w:val="0D6B1B49"/>
    <w:rsid w:val="0D7415CA"/>
    <w:rsid w:val="0D890E47"/>
    <w:rsid w:val="0DC64A00"/>
    <w:rsid w:val="0DCF786E"/>
    <w:rsid w:val="0DEB5FFA"/>
    <w:rsid w:val="0DF75C46"/>
    <w:rsid w:val="0DFC60BA"/>
    <w:rsid w:val="0E045D30"/>
    <w:rsid w:val="0E0A35A4"/>
    <w:rsid w:val="0E1C06B2"/>
    <w:rsid w:val="0E35000C"/>
    <w:rsid w:val="0E69691B"/>
    <w:rsid w:val="0E6C6D0C"/>
    <w:rsid w:val="0E7900C2"/>
    <w:rsid w:val="0EBB5484"/>
    <w:rsid w:val="0EBD5AA3"/>
    <w:rsid w:val="0F085784"/>
    <w:rsid w:val="0F0E4808"/>
    <w:rsid w:val="0F545DE3"/>
    <w:rsid w:val="0F5723EF"/>
    <w:rsid w:val="0F7C5FF6"/>
    <w:rsid w:val="0FBB2B96"/>
    <w:rsid w:val="0FC63FBD"/>
    <w:rsid w:val="0FDD003F"/>
    <w:rsid w:val="0FF63282"/>
    <w:rsid w:val="0FF87EA4"/>
    <w:rsid w:val="0FFF7484"/>
    <w:rsid w:val="10007DD4"/>
    <w:rsid w:val="100B77ED"/>
    <w:rsid w:val="100C129F"/>
    <w:rsid w:val="1028716B"/>
    <w:rsid w:val="10305890"/>
    <w:rsid w:val="103D5A1A"/>
    <w:rsid w:val="106C564D"/>
    <w:rsid w:val="10767478"/>
    <w:rsid w:val="107B7B8F"/>
    <w:rsid w:val="107C67CE"/>
    <w:rsid w:val="10912D03"/>
    <w:rsid w:val="109D68CB"/>
    <w:rsid w:val="10A654E9"/>
    <w:rsid w:val="10A949B8"/>
    <w:rsid w:val="10B27056"/>
    <w:rsid w:val="10CB4D26"/>
    <w:rsid w:val="110253EB"/>
    <w:rsid w:val="11144AFE"/>
    <w:rsid w:val="11200D07"/>
    <w:rsid w:val="116A3F32"/>
    <w:rsid w:val="11786AB5"/>
    <w:rsid w:val="118049D4"/>
    <w:rsid w:val="118561F8"/>
    <w:rsid w:val="11914FAF"/>
    <w:rsid w:val="11987B90"/>
    <w:rsid w:val="11A8021A"/>
    <w:rsid w:val="11B21219"/>
    <w:rsid w:val="11B4024C"/>
    <w:rsid w:val="11BC785A"/>
    <w:rsid w:val="11DA73AF"/>
    <w:rsid w:val="11FC1ECD"/>
    <w:rsid w:val="120E0E57"/>
    <w:rsid w:val="12457C5E"/>
    <w:rsid w:val="124D097B"/>
    <w:rsid w:val="124D32F5"/>
    <w:rsid w:val="12511265"/>
    <w:rsid w:val="125C471A"/>
    <w:rsid w:val="126561B4"/>
    <w:rsid w:val="127A3FFC"/>
    <w:rsid w:val="127D0E25"/>
    <w:rsid w:val="127E0B34"/>
    <w:rsid w:val="12825129"/>
    <w:rsid w:val="1283614B"/>
    <w:rsid w:val="12856FF3"/>
    <w:rsid w:val="129671FB"/>
    <w:rsid w:val="12A576FF"/>
    <w:rsid w:val="12C60D80"/>
    <w:rsid w:val="12ED7A68"/>
    <w:rsid w:val="12F06155"/>
    <w:rsid w:val="130523B3"/>
    <w:rsid w:val="13097496"/>
    <w:rsid w:val="130C764A"/>
    <w:rsid w:val="13154AD2"/>
    <w:rsid w:val="131E4F0D"/>
    <w:rsid w:val="131F7A3A"/>
    <w:rsid w:val="132645D0"/>
    <w:rsid w:val="134312FF"/>
    <w:rsid w:val="13455ABC"/>
    <w:rsid w:val="135247DB"/>
    <w:rsid w:val="1370322B"/>
    <w:rsid w:val="13BA0460"/>
    <w:rsid w:val="13BB41AE"/>
    <w:rsid w:val="13C24F9B"/>
    <w:rsid w:val="13C45A18"/>
    <w:rsid w:val="13C9247B"/>
    <w:rsid w:val="13C92A4D"/>
    <w:rsid w:val="13DE55D1"/>
    <w:rsid w:val="13E0285C"/>
    <w:rsid w:val="143B2E0B"/>
    <w:rsid w:val="147C1943"/>
    <w:rsid w:val="148054E9"/>
    <w:rsid w:val="14892735"/>
    <w:rsid w:val="14906D6C"/>
    <w:rsid w:val="14CC769D"/>
    <w:rsid w:val="14D764D5"/>
    <w:rsid w:val="14E8061B"/>
    <w:rsid w:val="14F43330"/>
    <w:rsid w:val="150575B2"/>
    <w:rsid w:val="152509D7"/>
    <w:rsid w:val="1542323E"/>
    <w:rsid w:val="15436F05"/>
    <w:rsid w:val="155541C5"/>
    <w:rsid w:val="15691FE3"/>
    <w:rsid w:val="158B5DDD"/>
    <w:rsid w:val="15A41986"/>
    <w:rsid w:val="15B11221"/>
    <w:rsid w:val="15C16EB3"/>
    <w:rsid w:val="15CB76C9"/>
    <w:rsid w:val="15D359D7"/>
    <w:rsid w:val="160E7A2C"/>
    <w:rsid w:val="16111028"/>
    <w:rsid w:val="161F7731"/>
    <w:rsid w:val="163C77BE"/>
    <w:rsid w:val="16457554"/>
    <w:rsid w:val="16573587"/>
    <w:rsid w:val="1679588C"/>
    <w:rsid w:val="168C2855"/>
    <w:rsid w:val="16903443"/>
    <w:rsid w:val="16994962"/>
    <w:rsid w:val="16A233CF"/>
    <w:rsid w:val="16A71041"/>
    <w:rsid w:val="16AA24BF"/>
    <w:rsid w:val="171657DF"/>
    <w:rsid w:val="171D3FE1"/>
    <w:rsid w:val="1742794A"/>
    <w:rsid w:val="17454D3F"/>
    <w:rsid w:val="17680CAB"/>
    <w:rsid w:val="176E4128"/>
    <w:rsid w:val="1783371F"/>
    <w:rsid w:val="178D7563"/>
    <w:rsid w:val="17B61794"/>
    <w:rsid w:val="17C52CBF"/>
    <w:rsid w:val="17C93012"/>
    <w:rsid w:val="17DB1C94"/>
    <w:rsid w:val="17E62B67"/>
    <w:rsid w:val="17EF1458"/>
    <w:rsid w:val="17FD3388"/>
    <w:rsid w:val="180F4499"/>
    <w:rsid w:val="182201B4"/>
    <w:rsid w:val="18221ECE"/>
    <w:rsid w:val="18303840"/>
    <w:rsid w:val="183C3D90"/>
    <w:rsid w:val="18504A07"/>
    <w:rsid w:val="1859036F"/>
    <w:rsid w:val="18681814"/>
    <w:rsid w:val="18B0649B"/>
    <w:rsid w:val="18BE634E"/>
    <w:rsid w:val="18C8297B"/>
    <w:rsid w:val="18D418FC"/>
    <w:rsid w:val="18FC7745"/>
    <w:rsid w:val="19027053"/>
    <w:rsid w:val="190313DD"/>
    <w:rsid w:val="19152597"/>
    <w:rsid w:val="191677A6"/>
    <w:rsid w:val="19353F17"/>
    <w:rsid w:val="19480D96"/>
    <w:rsid w:val="19804544"/>
    <w:rsid w:val="19DD405E"/>
    <w:rsid w:val="1A460CF5"/>
    <w:rsid w:val="1A7A6BB4"/>
    <w:rsid w:val="1A7F297D"/>
    <w:rsid w:val="1A9B268C"/>
    <w:rsid w:val="1A9D6244"/>
    <w:rsid w:val="1AAF6004"/>
    <w:rsid w:val="1AB16AC1"/>
    <w:rsid w:val="1ABF1CEA"/>
    <w:rsid w:val="1AD85B7E"/>
    <w:rsid w:val="1B014DDE"/>
    <w:rsid w:val="1B0320FB"/>
    <w:rsid w:val="1B034A52"/>
    <w:rsid w:val="1B2A0BC2"/>
    <w:rsid w:val="1B45344E"/>
    <w:rsid w:val="1B532BDC"/>
    <w:rsid w:val="1B543A48"/>
    <w:rsid w:val="1B591D2B"/>
    <w:rsid w:val="1B5D76FB"/>
    <w:rsid w:val="1B683578"/>
    <w:rsid w:val="1B8C0040"/>
    <w:rsid w:val="1B8C0427"/>
    <w:rsid w:val="1BBA4E52"/>
    <w:rsid w:val="1BD9519A"/>
    <w:rsid w:val="1BDE2F66"/>
    <w:rsid w:val="1BE037A2"/>
    <w:rsid w:val="1C2A22B3"/>
    <w:rsid w:val="1C750ECE"/>
    <w:rsid w:val="1CA56AF4"/>
    <w:rsid w:val="1CE1575A"/>
    <w:rsid w:val="1D196139"/>
    <w:rsid w:val="1D2E2708"/>
    <w:rsid w:val="1D5E02D1"/>
    <w:rsid w:val="1D6A4915"/>
    <w:rsid w:val="1D7B74A7"/>
    <w:rsid w:val="1D7F0ED0"/>
    <w:rsid w:val="1DA04055"/>
    <w:rsid w:val="1DA31EB7"/>
    <w:rsid w:val="1DA55D97"/>
    <w:rsid w:val="1DBB6100"/>
    <w:rsid w:val="1DBE6816"/>
    <w:rsid w:val="1DC67725"/>
    <w:rsid w:val="1DCB4FF1"/>
    <w:rsid w:val="1DDC11E4"/>
    <w:rsid w:val="1DE85602"/>
    <w:rsid w:val="1DF5452A"/>
    <w:rsid w:val="1E010AF7"/>
    <w:rsid w:val="1E1C405A"/>
    <w:rsid w:val="1E2E29E0"/>
    <w:rsid w:val="1E301173"/>
    <w:rsid w:val="1E6155D3"/>
    <w:rsid w:val="1E884D18"/>
    <w:rsid w:val="1ED8781E"/>
    <w:rsid w:val="1EDD3235"/>
    <w:rsid w:val="1EDF3532"/>
    <w:rsid w:val="1EE7283A"/>
    <w:rsid w:val="1F046899"/>
    <w:rsid w:val="1F1102B0"/>
    <w:rsid w:val="1F1747AA"/>
    <w:rsid w:val="1F2F1047"/>
    <w:rsid w:val="1F43381C"/>
    <w:rsid w:val="1F51312D"/>
    <w:rsid w:val="1F7D6A3D"/>
    <w:rsid w:val="1FA4148D"/>
    <w:rsid w:val="1FC10FAB"/>
    <w:rsid w:val="1FC65577"/>
    <w:rsid w:val="1FD82385"/>
    <w:rsid w:val="1FEB211D"/>
    <w:rsid w:val="1FFA12D5"/>
    <w:rsid w:val="20121621"/>
    <w:rsid w:val="201636E2"/>
    <w:rsid w:val="202E3F6D"/>
    <w:rsid w:val="2032134B"/>
    <w:rsid w:val="20325F7E"/>
    <w:rsid w:val="20355EF4"/>
    <w:rsid w:val="204778E7"/>
    <w:rsid w:val="204E554F"/>
    <w:rsid w:val="20546774"/>
    <w:rsid w:val="20590035"/>
    <w:rsid w:val="20851B47"/>
    <w:rsid w:val="209A2C3D"/>
    <w:rsid w:val="20A418E6"/>
    <w:rsid w:val="20CF4C51"/>
    <w:rsid w:val="20E5011E"/>
    <w:rsid w:val="20FC799E"/>
    <w:rsid w:val="21286DA7"/>
    <w:rsid w:val="212F5273"/>
    <w:rsid w:val="2134683B"/>
    <w:rsid w:val="21815AE7"/>
    <w:rsid w:val="21B7613B"/>
    <w:rsid w:val="21C82E72"/>
    <w:rsid w:val="21DA565B"/>
    <w:rsid w:val="21DE0801"/>
    <w:rsid w:val="21DE339D"/>
    <w:rsid w:val="22154DDD"/>
    <w:rsid w:val="221D4DB5"/>
    <w:rsid w:val="22336873"/>
    <w:rsid w:val="22396826"/>
    <w:rsid w:val="225471A3"/>
    <w:rsid w:val="225E34DC"/>
    <w:rsid w:val="226A2E83"/>
    <w:rsid w:val="227D1295"/>
    <w:rsid w:val="22876FC7"/>
    <w:rsid w:val="229B678A"/>
    <w:rsid w:val="229E09D5"/>
    <w:rsid w:val="22AB3B7D"/>
    <w:rsid w:val="22AF3A08"/>
    <w:rsid w:val="22F92F75"/>
    <w:rsid w:val="237D0994"/>
    <w:rsid w:val="239634D6"/>
    <w:rsid w:val="23BB4E7D"/>
    <w:rsid w:val="23C172D6"/>
    <w:rsid w:val="23CB1286"/>
    <w:rsid w:val="23D77537"/>
    <w:rsid w:val="23DA1C6C"/>
    <w:rsid w:val="23E6195D"/>
    <w:rsid w:val="23F04F64"/>
    <w:rsid w:val="240F09D1"/>
    <w:rsid w:val="241C0CC1"/>
    <w:rsid w:val="242654AA"/>
    <w:rsid w:val="24792D38"/>
    <w:rsid w:val="247F01D2"/>
    <w:rsid w:val="24814CBE"/>
    <w:rsid w:val="24AC168B"/>
    <w:rsid w:val="24BB6664"/>
    <w:rsid w:val="24EC64CB"/>
    <w:rsid w:val="250E1318"/>
    <w:rsid w:val="25103738"/>
    <w:rsid w:val="253F46D8"/>
    <w:rsid w:val="254D0389"/>
    <w:rsid w:val="25884C5D"/>
    <w:rsid w:val="258C3BEC"/>
    <w:rsid w:val="25A03144"/>
    <w:rsid w:val="25B2479F"/>
    <w:rsid w:val="25C15C5D"/>
    <w:rsid w:val="25D329B9"/>
    <w:rsid w:val="25D7082F"/>
    <w:rsid w:val="25DA0320"/>
    <w:rsid w:val="25E5427A"/>
    <w:rsid w:val="25ED105C"/>
    <w:rsid w:val="260809E9"/>
    <w:rsid w:val="26276A31"/>
    <w:rsid w:val="26366F9D"/>
    <w:rsid w:val="263B1230"/>
    <w:rsid w:val="2642752B"/>
    <w:rsid w:val="26485508"/>
    <w:rsid w:val="26554808"/>
    <w:rsid w:val="265E685B"/>
    <w:rsid w:val="26607D95"/>
    <w:rsid w:val="26700955"/>
    <w:rsid w:val="26A16AE9"/>
    <w:rsid w:val="26A605D9"/>
    <w:rsid w:val="26AD0500"/>
    <w:rsid w:val="26B121A3"/>
    <w:rsid w:val="26B52BC6"/>
    <w:rsid w:val="26E464C3"/>
    <w:rsid w:val="26EB5968"/>
    <w:rsid w:val="272E3097"/>
    <w:rsid w:val="272E6F74"/>
    <w:rsid w:val="273B7A3B"/>
    <w:rsid w:val="27776A29"/>
    <w:rsid w:val="277E6655"/>
    <w:rsid w:val="2780046C"/>
    <w:rsid w:val="27933DEA"/>
    <w:rsid w:val="27B36A67"/>
    <w:rsid w:val="27D9633F"/>
    <w:rsid w:val="27F92CD4"/>
    <w:rsid w:val="280B2E27"/>
    <w:rsid w:val="281964A8"/>
    <w:rsid w:val="281E404F"/>
    <w:rsid w:val="28302479"/>
    <w:rsid w:val="2846581F"/>
    <w:rsid w:val="284A5CA4"/>
    <w:rsid w:val="28563873"/>
    <w:rsid w:val="286550ED"/>
    <w:rsid w:val="286602C8"/>
    <w:rsid w:val="28665C95"/>
    <w:rsid w:val="28736F5F"/>
    <w:rsid w:val="28B01D1E"/>
    <w:rsid w:val="28C2628C"/>
    <w:rsid w:val="28CC3373"/>
    <w:rsid w:val="28F47F99"/>
    <w:rsid w:val="28F579BA"/>
    <w:rsid w:val="290B3EB9"/>
    <w:rsid w:val="292728C1"/>
    <w:rsid w:val="294E392A"/>
    <w:rsid w:val="2950768C"/>
    <w:rsid w:val="297A5FC4"/>
    <w:rsid w:val="29AC1FD3"/>
    <w:rsid w:val="29B1569B"/>
    <w:rsid w:val="29B51252"/>
    <w:rsid w:val="29E14657"/>
    <w:rsid w:val="29E474B8"/>
    <w:rsid w:val="29ED574B"/>
    <w:rsid w:val="29FA2D3E"/>
    <w:rsid w:val="29FE5CE6"/>
    <w:rsid w:val="2A2878AC"/>
    <w:rsid w:val="2A401811"/>
    <w:rsid w:val="2A582C35"/>
    <w:rsid w:val="2A732180"/>
    <w:rsid w:val="2A743AE8"/>
    <w:rsid w:val="2A8A5AD3"/>
    <w:rsid w:val="2A8D4F8F"/>
    <w:rsid w:val="2A917B34"/>
    <w:rsid w:val="2A9308A8"/>
    <w:rsid w:val="2A9F5AB8"/>
    <w:rsid w:val="2AB10C99"/>
    <w:rsid w:val="2AD74E8C"/>
    <w:rsid w:val="2AE3766F"/>
    <w:rsid w:val="2AEA324F"/>
    <w:rsid w:val="2AEC612E"/>
    <w:rsid w:val="2B0268A7"/>
    <w:rsid w:val="2B060F9E"/>
    <w:rsid w:val="2B0E56AB"/>
    <w:rsid w:val="2B1042CA"/>
    <w:rsid w:val="2B51141C"/>
    <w:rsid w:val="2B590601"/>
    <w:rsid w:val="2B710DB7"/>
    <w:rsid w:val="2B7408CF"/>
    <w:rsid w:val="2B7E4054"/>
    <w:rsid w:val="2B91029B"/>
    <w:rsid w:val="2BBA6A76"/>
    <w:rsid w:val="2BCC03D1"/>
    <w:rsid w:val="2BDF1FBA"/>
    <w:rsid w:val="2BE52FB1"/>
    <w:rsid w:val="2C0C6D59"/>
    <w:rsid w:val="2C581B13"/>
    <w:rsid w:val="2C5B0D4B"/>
    <w:rsid w:val="2C8903AA"/>
    <w:rsid w:val="2C987C56"/>
    <w:rsid w:val="2CA156F3"/>
    <w:rsid w:val="2CC11460"/>
    <w:rsid w:val="2CC15BAA"/>
    <w:rsid w:val="2CC72A61"/>
    <w:rsid w:val="2CD72EE8"/>
    <w:rsid w:val="2CDC3153"/>
    <w:rsid w:val="2CDF621C"/>
    <w:rsid w:val="2CE136D7"/>
    <w:rsid w:val="2CEE645F"/>
    <w:rsid w:val="2CFE7A11"/>
    <w:rsid w:val="2CFF149A"/>
    <w:rsid w:val="2D012636"/>
    <w:rsid w:val="2D0469BB"/>
    <w:rsid w:val="2D201865"/>
    <w:rsid w:val="2D2B6EDE"/>
    <w:rsid w:val="2D450775"/>
    <w:rsid w:val="2D4B5CEA"/>
    <w:rsid w:val="2D4C5B4C"/>
    <w:rsid w:val="2D542188"/>
    <w:rsid w:val="2D652658"/>
    <w:rsid w:val="2D964A56"/>
    <w:rsid w:val="2D9857DE"/>
    <w:rsid w:val="2DA6475A"/>
    <w:rsid w:val="2DC16E0A"/>
    <w:rsid w:val="2DC80C49"/>
    <w:rsid w:val="2DCA6355"/>
    <w:rsid w:val="2DF90F16"/>
    <w:rsid w:val="2E030E17"/>
    <w:rsid w:val="2E166748"/>
    <w:rsid w:val="2E2054A0"/>
    <w:rsid w:val="2E3835BF"/>
    <w:rsid w:val="2E482374"/>
    <w:rsid w:val="2E491580"/>
    <w:rsid w:val="2E556F01"/>
    <w:rsid w:val="2E7B4D86"/>
    <w:rsid w:val="2E8345A7"/>
    <w:rsid w:val="2E8E20B4"/>
    <w:rsid w:val="2EAA7BAE"/>
    <w:rsid w:val="2EBE1EFF"/>
    <w:rsid w:val="2EC1207D"/>
    <w:rsid w:val="2ED06066"/>
    <w:rsid w:val="2ED1223D"/>
    <w:rsid w:val="2EEE5DDD"/>
    <w:rsid w:val="2F000139"/>
    <w:rsid w:val="2F1B303D"/>
    <w:rsid w:val="2F3F11F4"/>
    <w:rsid w:val="2F5E0754"/>
    <w:rsid w:val="2F981B4A"/>
    <w:rsid w:val="2F9F42DC"/>
    <w:rsid w:val="2FBB4121"/>
    <w:rsid w:val="2FBC2844"/>
    <w:rsid w:val="2FBE3786"/>
    <w:rsid w:val="2FC32F68"/>
    <w:rsid w:val="2FD6418B"/>
    <w:rsid w:val="2FDA5700"/>
    <w:rsid w:val="2FDB16F7"/>
    <w:rsid w:val="2FF37AB3"/>
    <w:rsid w:val="30210B8A"/>
    <w:rsid w:val="30224DC7"/>
    <w:rsid w:val="303B4C3F"/>
    <w:rsid w:val="3044250D"/>
    <w:rsid w:val="3073310C"/>
    <w:rsid w:val="309D6BE6"/>
    <w:rsid w:val="30AA1790"/>
    <w:rsid w:val="30D27675"/>
    <w:rsid w:val="30EE385E"/>
    <w:rsid w:val="30F85AFE"/>
    <w:rsid w:val="31031402"/>
    <w:rsid w:val="31170995"/>
    <w:rsid w:val="31264A30"/>
    <w:rsid w:val="312651F8"/>
    <w:rsid w:val="31862EE3"/>
    <w:rsid w:val="31884E67"/>
    <w:rsid w:val="318E039F"/>
    <w:rsid w:val="31A0275E"/>
    <w:rsid w:val="31A67308"/>
    <w:rsid w:val="31AB2B70"/>
    <w:rsid w:val="31B41AD3"/>
    <w:rsid w:val="31B91526"/>
    <w:rsid w:val="31BA6679"/>
    <w:rsid w:val="31BA7402"/>
    <w:rsid w:val="31EF0041"/>
    <w:rsid w:val="320107F5"/>
    <w:rsid w:val="324175CB"/>
    <w:rsid w:val="3265022A"/>
    <w:rsid w:val="326A0524"/>
    <w:rsid w:val="326B6B4F"/>
    <w:rsid w:val="327B7EDF"/>
    <w:rsid w:val="32A17B37"/>
    <w:rsid w:val="32AB70C5"/>
    <w:rsid w:val="32BC4FC3"/>
    <w:rsid w:val="32EA5D3A"/>
    <w:rsid w:val="32EF2122"/>
    <w:rsid w:val="32F17F41"/>
    <w:rsid w:val="332038B4"/>
    <w:rsid w:val="33247607"/>
    <w:rsid w:val="333014B0"/>
    <w:rsid w:val="335D0AF5"/>
    <w:rsid w:val="336917EF"/>
    <w:rsid w:val="336B2EA4"/>
    <w:rsid w:val="336B3E67"/>
    <w:rsid w:val="3370088C"/>
    <w:rsid w:val="33872039"/>
    <w:rsid w:val="339A687B"/>
    <w:rsid w:val="33D02178"/>
    <w:rsid w:val="33DC2F78"/>
    <w:rsid w:val="33FD528D"/>
    <w:rsid w:val="34030A42"/>
    <w:rsid w:val="3428227C"/>
    <w:rsid w:val="343230D5"/>
    <w:rsid w:val="3439428E"/>
    <w:rsid w:val="34571EF7"/>
    <w:rsid w:val="347918A5"/>
    <w:rsid w:val="34802E4C"/>
    <w:rsid w:val="349D37D5"/>
    <w:rsid w:val="34A61BDE"/>
    <w:rsid w:val="34AE2A9C"/>
    <w:rsid w:val="34BB7B5F"/>
    <w:rsid w:val="34C964E5"/>
    <w:rsid w:val="34DB7975"/>
    <w:rsid w:val="3522586C"/>
    <w:rsid w:val="353F0863"/>
    <w:rsid w:val="354028CD"/>
    <w:rsid w:val="35572473"/>
    <w:rsid w:val="35602226"/>
    <w:rsid w:val="356B72E7"/>
    <w:rsid w:val="356D2AC8"/>
    <w:rsid w:val="356F216E"/>
    <w:rsid w:val="3572424F"/>
    <w:rsid w:val="35734CF3"/>
    <w:rsid w:val="35866014"/>
    <w:rsid w:val="359E5CE0"/>
    <w:rsid w:val="35D275C3"/>
    <w:rsid w:val="35D56811"/>
    <w:rsid w:val="35E50FBB"/>
    <w:rsid w:val="362B215D"/>
    <w:rsid w:val="366666CA"/>
    <w:rsid w:val="367070F4"/>
    <w:rsid w:val="367801A9"/>
    <w:rsid w:val="36807FCC"/>
    <w:rsid w:val="36877708"/>
    <w:rsid w:val="36AD519D"/>
    <w:rsid w:val="36B57705"/>
    <w:rsid w:val="36B93E53"/>
    <w:rsid w:val="36DC1DD3"/>
    <w:rsid w:val="36DD65D8"/>
    <w:rsid w:val="36F3711D"/>
    <w:rsid w:val="36FC25DD"/>
    <w:rsid w:val="37050543"/>
    <w:rsid w:val="37090CD6"/>
    <w:rsid w:val="37122320"/>
    <w:rsid w:val="3754697A"/>
    <w:rsid w:val="375C5481"/>
    <w:rsid w:val="37636A21"/>
    <w:rsid w:val="377C03A4"/>
    <w:rsid w:val="37A103ED"/>
    <w:rsid w:val="37A367C3"/>
    <w:rsid w:val="37BD33EE"/>
    <w:rsid w:val="37CD7440"/>
    <w:rsid w:val="37D34100"/>
    <w:rsid w:val="37E02B23"/>
    <w:rsid w:val="37E345A6"/>
    <w:rsid w:val="37EA5E6E"/>
    <w:rsid w:val="37EC6A58"/>
    <w:rsid w:val="37FB2268"/>
    <w:rsid w:val="37FF016F"/>
    <w:rsid w:val="382A6E2D"/>
    <w:rsid w:val="386E4145"/>
    <w:rsid w:val="387C5ABE"/>
    <w:rsid w:val="38B66D0C"/>
    <w:rsid w:val="38D41643"/>
    <w:rsid w:val="38E63823"/>
    <w:rsid w:val="38EB6119"/>
    <w:rsid w:val="39044996"/>
    <w:rsid w:val="392C6D9B"/>
    <w:rsid w:val="393B020C"/>
    <w:rsid w:val="39506E15"/>
    <w:rsid w:val="396678D9"/>
    <w:rsid w:val="39790BE6"/>
    <w:rsid w:val="397A0ADB"/>
    <w:rsid w:val="39844799"/>
    <w:rsid w:val="39954B2B"/>
    <w:rsid w:val="39B21228"/>
    <w:rsid w:val="39DA2245"/>
    <w:rsid w:val="39E66E3B"/>
    <w:rsid w:val="39FD4CC2"/>
    <w:rsid w:val="3A51228C"/>
    <w:rsid w:val="3A545E48"/>
    <w:rsid w:val="3A552E60"/>
    <w:rsid w:val="3A5D642F"/>
    <w:rsid w:val="3A744447"/>
    <w:rsid w:val="3A78219D"/>
    <w:rsid w:val="3A995C5C"/>
    <w:rsid w:val="3AB210FC"/>
    <w:rsid w:val="3ADB7381"/>
    <w:rsid w:val="3AF04A37"/>
    <w:rsid w:val="3B043A1D"/>
    <w:rsid w:val="3B1E01C3"/>
    <w:rsid w:val="3B3E5B8A"/>
    <w:rsid w:val="3B4806CB"/>
    <w:rsid w:val="3B6B5B06"/>
    <w:rsid w:val="3B793A48"/>
    <w:rsid w:val="3B7E3699"/>
    <w:rsid w:val="3B85393E"/>
    <w:rsid w:val="3B94244F"/>
    <w:rsid w:val="3BB1188D"/>
    <w:rsid w:val="3BCA4B8A"/>
    <w:rsid w:val="3BCC33CF"/>
    <w:rsid w:val="3BCD72F7"/>
    <w:rsid w:val="3BDD2B76"/>
    <w:rsid w:val="3BFC2F5F"/>
    <w:rsid w:val="3C37146A"/>
    <w:rsid w:val="3C3D3625"/>
    <w:rsid w:val="3C414142"/>
    <w:rsid w:val="3C5B725E"/>
    <w:rsid w:val="3C6D73A0"/>
    <w:rsid w:val="3C84047F"/>
    <w:rsid w:val="3C88055A"/>
    <w:rsid w:val="3C9E57AB"/>
    <w:rsid w:val="3CAF79B9"/>
    <w:rsid w:val="3CB35097"/>
    <w:rsid w:val="3CC66D60"/>
    <w:rsid w:val="3CF737A2"/>
    <w:rsid w:val="3D10295A"/>
    <w:rsid w:val="3D184041"/>
    <w:rsid w:val="3D324951"/>
    <w:rsid w:val="3D370C2A"/>
    <w:rsid w:val="3D414FC0"/>
    <w:rsid w:val="3D4F12A7"/>
    <w:rsid w:val="3D7B5F78"/>
    <w:rsid w:val="3D7D049C"/>
    <w:rsid w:val="3DE20EAE"/>
    <w:rsid w:val="3DEF3701"/>
    <w:rsid w:val="3E0572FD"/>
    <w:rsid w:val="3E0720FE"/>
    <w:rsid w:val="3E2819F6"/>
    <w:rsid w:val="3E287A22"/>
    <w:rsid w:val="3E5A7FE7"/>
    <w:rsid w:val="3E7D40EF"/>
    <w:rsid w:val="3E955A6A"/>
    <w:rsid w:val="3E964D81"/>
    <w:rsid w:val="3EAA6E99"/>
    <w:rsid w:val="3EF66B2E"/>
    <w:rsid w:val="3F217914"/>
    <w:rsid w:val="3F4C7379"/>
    <w:rsid w:val="3F710914"/>
    <w:rsid w:val="3FD10810"/>
    <w:rsid w:val="3FD70BB0"/>
    <w:rsid w:val="3FFB55AC"/>
    <w:rsid w:val="40017152"/>
    <w:rsid w:val="401C5F9D"/>
    <w:rsid w:val="401C690C"/>
    <w:rsid w:val="401D7195"/>
    <w:rsid w:val="403A0937"/>
    <w:rsid w:val="40402139"/>
    <w:rsid w:val="405C1C05"/>
    <w:rsid w:val="40646634"/>
    <w:rsid w:val="407A652F"/>
    <w:rsid w:val="40825D97"/>
    <w:rsid w:val="40836C36"/>
    <w:rsid w:val="40870EA3"/>
    <w:rsid w:val="40890E7F"/>
    <w:rsid w:val="409928E7"/>
    <w:rsid w:val="40997CFE"/>
    <w:rsid w:val="409D2EC2"/>
    <w:rsid w:val="40B633BC"/>
    <w:rsid w:val="40C34607"/>
    <w:rsid w:val="40CE3DC0"/>
    <w:rsid w:val="40D7455A"/>
    <w:rsid w:val="40D92C20"/>
    <w:rsid w:val="40E743E5"/>
    <w:rsid w:val="40EB4012"/>
    <w:rsid w:val="41075C9E"/>
    <w:rsid w:val="41090ADD"/>
    <w:rsid w:val="410A1661"/>
    <w:rsid w:val="412D5EA0"/>
    <w:rsid w:val="415A62F5"/>
    <w:rsid w:val="416D78C7"/>
    <w:rsid w:val="41734CBA"/>
    <w:rsid w:val="417F4E1A"/>
    <w:rsid w:val="418B0C8A"/>
    <w:rsid w:val="41A82190"/>
    <w:rsid w:val="41DE5999"/>
    <w:rsid w:val="41E1181A"/>
    <w:rsid w:val="41E32A20"/>
    <w:rsid w:val="41F85FC5"/>
    <w:rsid w:val="41FA3241"/>
    <w:rsid w:val="4204012E"/>
    <w:rsid w:val="420F7A65"/>
    <w:rsid w:val="4216611A"/>
    <w:rsid w:val="42321B6A"/>
    <w:rsid w:val="423E300F"/>
    <w:rsid w:val="424E58CF"/>
    <w:rsid w:val="425656C8"/>
    <w:rsid w:val="4257273C"/>
    <w:rsid w:val="42687ACE"/>
    <w:rsid w:val="4270145E"/>
    <w:rsid w:val="429E6041"/>
    <w:rsid w:val="42BF4B02"/>
    <w:rsid w:val="42E16B51"/>
    <w:rsid w:val="42E449C4"/>
    <w:rsid w:val="42FD694D"/>
    <w:rsid w:val="43034DFA"/>
    <w:rsid w:val="436F1479"/>
    <w:rsid w:val="437D6687"/>
    <w:rsid w:val="438351F5"/>
    <w:rsid w:val="438356FB"/>
    <w:rsid w:val="438D35EA"/>
    <w:rsid w:val="43A34385"/>
    <w:rsid w:val="43BC1E57"/>
    <w:rsid w:val="43D23F8D"/>
    <w:rsid w:val="43D43F1D"/>
    <w:rsid w:val="43FA5777"/>
    <w:rsid w:val="44023422"/>
    <w:rsid w:val="44184A2D"/>
    <w:rsid w:val="441C1611"/>
    <w:rsid w:val="443C440B"/>
    <w:rsid w:val="44514F52"/>
    <w:rsid w:val="44760A9D"/>
    <w:rsid w:val="44761C8F"/>
    <w:rsid w:val="44831552"/>
    <w:rsid w:val="448434D9"/>
    <w:rsid w:val="449722E3"/>
    <w:rsid w:val="449D7B09"/>
    <w:rsid w:val="44AE3FD4"/>
    <w:rsid w:val="44D0586F"/>
    <w:rsid w:val="44FA2D53"/>
    <w:rsid w:val="453C4912"/>
    <w:rsid w:val="45604D35"/>
    <w:rsid w:val="45687813"/>
    <w:rsid w:val="4571374F"/>
    <w:rsid w:val="458A16BB"/>
    <w:rsid w:val="458B1BB0"/>
    <w:rsid w:val="45A41560"/>
    <w:rsid w:val="45AD31D6"/>
    <w:rsid w:val="45B93426"/>
    <w:rsid w:val="45CF1361"/>
    <w:rsid w:val="45F62756"/>
    <w:rsid w:val="464C6420"/>
    <w:rsid w:val="46552F9B"/>
    <w:rsid w:val="467A0297"/>
    <w:rsid w:val="468B7125"/>
    <w:rsid w:val="46926217"/>
    <w:rsid w:val="46AC4C75"/>
    <w:rsid w:val="46B506EF"/>
    <w:rsid w:val="46C4691F"/>
    <w:rsid w:val="46CB53EF"/>
    <w:rsid w:val="46EE513F"/>
    <w:rsid w:val="470F5A71"/>
    <w:rsid w:val="472607B8"/>
    <w:rsid w:val="473154FF"/>
    <w:rsid w:val="47685427"/>
    <w:rsid w:val="476C4065"/>
    <w:rsid w:val="4779499C"/>
    <w:rsid w:val="477B6530"/>
    <w:rsid w:val="47801172"/>
    <w:rsid w:val="479D1D34"/>
    <w:rsid w:val="47B609C0"/>
    <w:rsid w:val="47EC1049"/>
    <w:rsid w:val="47EC3B04"/>
    <w:rsid w:val="47EC6277"/>
    <w:rsid w:val="48021483"/>
    <w:rsid w:val="481A219B"/>
    <w:rsid w:val="482D31EA"/>
    <w:rsid w:val="48447D02"/>
    <w:rsid w:val="485970A0"/>
    <w:rsid w:val="486A6E89"/>
    <w:rsid w:val="486F26F2"/>
    <w:rsid w:val="48823516"/>
    <w:rsid w:val="48847F4B"/>
    <w:rsid w:val="48877686"/>
    <w:rsid w:val="488B498B"/>
    <w:rsid w:val="489D33F8"/>
    <w:rsid w:val="48B176C2"/>
    <w:rsid w:val="48B65C71"/>
    <w:rsid w:val="48CA4059"/>
    <w:rsid w:val="48D550F0"/>
    <w:rsid w:val="48FB1909"/>
    <w:rsid w:val="491F266E"/>
    <w:rsid w:val="492E6A57"/>
    <w:rsid w:val="495839AA"/>
    <w:rsid w:val="49700A6F"/>
    <w:rsid w:val="49771AFE"/>
    <w:rsid w:val="49802948"/>
    <w:rsid w:val="4986089F"/>
    <w:rsid w:val="498B5309"/>
    <w:rsid w:val="499F0AAB"/>
    <w:rsid w:val="49C154CE"/>
    <w:rsid w:val="49C33FF5"/>
    <w:rsid w:val="49DB11EC"/>
    <w:rsid w:val="49E31DD1"/>
    <w:rsid w:val="4A0030EE"/>
    <w:rsid w:val="4A0568D6"/>
    <w:rsid w:val="4A0C4F3C"/>
    <w:rsid w:val="4A162478"/>
    <w:rsid w:val="4A171EC9"/>
    <w:rsid w:val="4A1A1689"/>
    <w:rsid w:val="4A484D41"/>
    <w:rsid w:val="4A6D15F8"/>
    <w:rsid w:val="4A7617B6"/>
    <w:rsid w:val="4A873236"/>
    <w:rsid w:val="4A8C4FB8"/>
    <w:rsid w:val="4A9A25BD"/>
    <w:rsid w:val="4A9E0551"/>
    <w:rsid w:val="4AB542AE"/>
    <w:rsid w:val="4AF72FEA"/>
    <w:rsid w:val="4B1477B3"/>
    <w:rsid w:val="4B18172D"/>
    <w:rsid w:val="4B1F062C"/>
    <w:rsid w:val="4B243D9D"/>
    <w:rsid w:val="4B281425"/>
    <w:rsid w:val="4B6F66A1"/>
    <w:rsid w:val="4B85213F"/>
    <w:rsid w:val="4B8C2DEB"/>
    <w:rsid w:val="4BDF4407"/>
    <w:rsid w:val="4BFA3C9F"/>
    <w:rsid w:val="4BFA7F6C"/>
    <w:rsid w:val="4C107F48"/>
    <w:rsid w:val="4C3117D0"/>
    <w:rsid w:val="4C3277BC"/>
    <w:rsid w:val="4C5C442D"/>
    <w:rsid w:val="4C673799"/>
    <w:rsid w:val="4C6D42A9"/>
    <w:rsid w:val="4C716A38"/>
    <w:rsid w:val="4CAC7873"/>
    <w:rsid w:val="4CC0351C"/>
    <w:rsid w:val="4CC3331B"/>
    <w:rsid w:val="4CC353EB"/>
    <w:rsid w:val="4CDC2A68"/>
    <w:rsid w:val="4CE64E14"/>
    <w:rsid w:val="4CE95EE5"/>
    <w:rsid w:val="4CF36F3C"/>
    <w:rsid w:val="4D007BC8"/>
    <w:rsid w:val="4D0602E5"/>
    <w:rsid w:val="4D063625"/>
    <w:rsid w:val="4D0A544B"/>
    <w:rsid w:val="4D1470BD"/>
    <w:rsid w:val="4D154882"/>
    <w:rsid w:val="4D1C3C50"/>
    <w:rsid w:val="4D45637A"/>
    <w:rsid w:val="4D603399"/>
    <w:rsid w:val="4D6A7284"/>
    <w:rsid w:val="4D6E30E1"/>
    <w:rsid w:val="4D867EE1"/>
    <w:rsid w:val="4DBC4C65"/>
    <w:rsid w:val="4DC36632"/>
    <w:rsid w:val="4DC9105D"/>
    <w:rsid w:val="4DD112ED"/>
    <w:rsid w:val="4DE2009B"/>
    <w:rsid w:val="4DF86974"/>
    <w:rsid w:val="4E0F235E"/>
    <w:rsid w:val="4E157689"/>
    <w:rsid w:val="4E471216"/>
    <w:rsid w:val="4E4E53B3"/>
    <w:rsid w:val="4E533FA5"/>
    <w:rsid w:val="4E550010"/>
    <w:rsid w:val="4E5F14CB"/>
    <w:rsid w:val="4E6808B0"/>
    <w:rsid w:val="4E77514F"/>
    <w:rsid w:val="4E780BC4"/>
    <w:rsid w:val="4EBA42F2"/>
    <w:rsid w:val="4EC00DDD"/>
    <w:rsid w:val="4EC449BB"/>
    <w:rsid w:val="4ED908C5"/>
    <w:rsid w:val="4EF04B82"/>
    <w:rsid w:val="4EF265BE"/>
    <w:rsid w:val="4EFB1C45"/>
    <w:rsid w:val="4F053A5C"/>
    <w:rsid w:val="4F0C2A48"/>
    <w:rsid w:val="4F0C3F06"/>
    <w:rsid w:val="4F26273B"/>
    <w:rsid w:val="4F2D3A8A"/>
    <w:rsid w:val="4F32478A"/>
    <w:rsid w:val="4F3705F8"/>
    <w:rsid w:val="4F832561"/>
    <w:rsid w:val="4F913A9A"/>
    <w:rsid w:val="4F9714A0"/>
    <w:rsid w:val="4FAA3F91"/>
    <w:rsid w:val="4FAC3540"/>
    <w:rsid w:val="4FCF1583"/>
    <w:rsid w:val="4FD23E66"/>
    <w:rsid w:val="4FD44D1B"/>
    <w:rsid w:val="4FDC066D"/>
    <w:rsid w:val="4FFA7625"/>
    <w:rsid w:val="50332D5C"/>
    <w:rsid w:val="50453E7E"/>
    <w:rsid w:val="50594CF7"/>
    <w:rsid w:val="507142CF"/>
    <w:rsid w:val="507D2599"/>
    <w:rsid w:val="5096229D"/>
    <w:rsid w:val="509E157D"/>
    <w:rsid w:val="50A6165E"/>
    <w:rsid w:val="50A62033"/>
    <w:rsid w:val="50AD4906"/>
    <w:rsid w:val="50DC4184"/>
    <w:rsid w:val="50E97270"/>
    <w:rsid w:val="50FB6146"/>
    <w:rsid w:val="51054D41"/>
    <w:rsid w:val="51072A0F"/>
    <w:rsid w:val="512F4CA0"/>
    <w:rsid w:val="51361FFF"/>
    <w:rsid w:val="513D3601"/>
    <w:rsid w:val="513D4C38"/>
    <w:rsid w:val="514C3EA7"/>
    <w:rsid w:val="51756313"/>
    <w:rsid w:val="51AC4D00"/>
    <w:rsid w:val="51D642AB"/>
    <w:rsid w:val="51ED4DB3"/>
    <w:rsid w:val="51FF3C99"/>
    <w:rsid w:val="522A20E4"/>
    <w:rsid w:val="52363D4D"/>
    <w:rsid w:val="524A2AC9"/>
    <w:rsid w:val="52521A20"/>
    <w:rsid w:val="528604EC"/>
    <w:rsid w:val="529E2C3A"/>
    <w:rsid w:val="52AC4ABC"/>
    <w:rsid w:val="52C201B9"/>
    <w:rsid w:val="52E57A12"/>
    <w:rsid w:val="52F20B62"/>
    <w:rsid w:val="530B75FA"/>
    <w:rsid w:val="531C4FCC"/>
    <w:rsid w:val="53827E49"/>
    <w:rsid w:val="538A6BB9"/>
    <w:rsid w:val="539964FD"/>
    <w:rsid w:val="539C1B81"/>
    <w:rsid w:val="539D7755"/>
    <w:rsid w:val="53A447B1"/>
    <w:rsid w:val="53AE750F"/>
    <w:rsid w:val="53D224B3"/>
    <w:rsid w:val="53F81D96"/>
    <w:rsid w:val="541D5DE8"/>
    <w:rsid w:val="541F57C4"/>
    <w:rsid w:val="544B5214"/>
    <w:rsid w:val="546F523C"/>
    <w:rsid w:val="54782FBD"/>
    <w:rsid w:val="5483138F"/>
    <w:rsid w:val="5488523A"/>
    <w:rsid w:val="549A6BFA"/>
    <w:rsid w:val="549D3C44"/>
    <w:rsid w:val="54B1398B"/>
    <w:rsid w:val="54C341E7"/>
    <w:rsid w:val="54D933CD"/>
    <w:rsid w:val="551751CF"/>
    <w:rsid w:val="5522558F"/>
    <w:rsid w:val="55244D7F"/>
    <w:rsid w:val="552B02EF"/>
    <w:rsid w:val="55305397"/>
    <w:rsid w:val="55362287"/>
    <w:rsid w:val="55432F3C"/>
    <w:rsid w:val="55A37FFD"/>
    <w:rsid w:val="55AE22F1"/>
    <w:rsid w:val="55B94C91"/>
    <w:rsid w:val="55C3227E"/>
    <w:rsid w:val="55CE1AA9"/>
    <w:rsid w:val="55F6381F"/>
    <w:rsid w:val="55FA2961"/>
    <w:rsid w:val="5602250F"/>
    <w:rsid w:val="564220BA"/>
    <w:rsid w:val="565E7F4F"/>
    <w:rsid w:val="565F3DA6"/>
    <w:rsid w:val="567F2378"/>
    <w:rsid w:val="56914056"/>
    <w:rsid w:val="56B61E36"/>
    <w:rsid w:val="56C36589"/>
    <w:rsid w:val="56D36553"/>
    <w:rsid w:val="570D55B0"/>
    <w:rsid w:val="57293C95"/>
    <w:rsid w:val="572A6381"/>
    <w:rsid w:val="572B41B4"/>
    <w:rsid w:val="57365868"/>
    <w:rsid w:val="573C1959"/>
    <w:rsid w:val="57554571"/>
    <w:rsid w:val="57B81206"/>
    <w:rsid w:val="57D12A81"/>
    <w:rsid w:val="57F65317"/>
    <w:rsid w:val="57FC2169"/>
    <w:rsid w:val="58024015"/>
    <w:rsid w:val="58096275"/>
    <w:rsid w:val="5819544F"/>
    <w:rsid w:val="582D6D32"/>
    <w:rsid w:val="582E6EF7"/>
    <w:rsid w:val="584E30E6"/>
    <w:rsid w:val="58546EFD"/>
    <w:rsid w:val="58584F50"/>
    <w:rsid w:val="5881703E"/>
    <w:rsid w:val="58843003"/>
    <w:rsid w:val="58A16855"/>
    <w:rsid w:val="58E26731"/>
    <w:rsid w:val="58EB1371"/>
    <w:rsid w:val="59091D98"/>
    <w:rsid w:val="590E4A97"/>
    <w:rsid w:val="591250FF"/>
    <w:rsid w:val="5920012C"/>
    <w:rsid w:val="593700E7"/>
    <w:rsid w:val="595578DE"/>
    <w:rsid w:val="597B384D"/>
    <w:rsid w:val="59996DA8"/>
    <w:rsid w:val="59C30F1B"/>
    <w:rsid w:val="59CE4759"/>
    <w:rsid w:val="59D90B78"/>
    <w:rsid w:val="5A63681D"/>
    <w:rsid w:val="5A814766"/>
    <w:rsid w:val="5A8C20D0"/>
    <w:rsid w:val="5AA47962"/>
    <w:rsid w:val="5ABC29E4"/>
    <w:rsid w:val="5AC7121C"/>
    <w:rsid w:val="5AD90B8D"/>
    <w:rsid w:val="5AE12927"/>
    <w:rsid w:val="5AE35472"/>
    <w:rsid w:val="5AF41CF3"/>
    <w:rsid w:val="5AF87CC9"/>
    <w:rsid w:val="5B07329F"/>
    <w:rsid w:val="5B4E1A44"/>
    <w:rsid w:val="5B873201"/>
    <w:rsid w:val="5B967767"/>
    <w:rsid w:val="5B9D1624"/>
    <w:rsid w:val="5B9F0D95"/>
    <w:rsid w:val="5BBF73E2"/>
    <w:rsid w:val="5BD706F4"/>
    <w:rsid w:val="5BEE5378"/>
    <w:rsid w:val="5C0A19A7"/>
    <w:rsid w:val="5C0C2FF6"/>
    <w:rsid w:val="5C1241CC"/>
    <w:rsid w:val="5C286807"/>
    <w:rsid w:val="5C34339E"/>
    <w:rsid w:val="5C355656"/>
    <w:rsid w:val="5C370E72"/>
    <w:rsid w:val="5C446BC8"/>
    <w:rsid w:val="5C4B56E1"/>
    <w:rsid w:val="5C7146B1"/>
    <w:rsid w:val="5C7C2768"/>
    <w:rsid w:val="5CAD3BC1"/>
    <w:rsid w:val="5CAE62DC"/>
    <w:rsid w:val="5CB23AE6"/>
    <w:rsid w:val="5CC93CE4"/>
    <w:rsid w:val="5CCC54BC"/>
    <w:rsid w:val="5CD8040E"/>
    <w:rsid w:val="5CE46028"/>
    <w:rsid w:val="5CED5863"/>
    <w:rsid w:val="5D0D6DF5"/>
    <w:rsid w:val="5D4A5E05"/>
    <w:rsid w:val="5D580A8A"/>
    <w:rsid w:val="5D7E6D71"/>
    <w:rsid w:val="5D893B14"/>
    <w:rsid w:val="5DB42C29"/>
    <w:rsid w:val="5E1219F7"/>
    <w:rsid w:val="5E18541D"/>
    <w:rsid w:val="5E1B6097"/>
    <w:rsid w:val="5E291636"/>
    <w:rsid w:val="5E48511F"/>
    <w:rsid w:val="5E57286E"/>
    <w:rsid w:val="5E655B72"/>
    <w:rsid w:val="5E8B0770"/>
    <w:rsid w:val="5E93283E"/>
    <w:rsid w:val="5E952315"/>
    <w:rsid w:val="5EA06921"/>
    <w:rsid w:val="5EBA259F"/>
    <w:rsid w:val="5EDA7731"/>
    <w:rsid w:val="5EE1082B"/>
    <w:rsid w:val="5EE97BB4"/>
    <w:rsid w:val="5EEF640C"/>
    <w:rsid w:val="5EF16541"/>
    <w:rsid w:val="5EF55BC9"/>
    <w:rsid w:val="5F085DDA"/>
    <w:rsid w:val="5F2E2D52"/>
    <w:rsid w:val="5F54198B"/>
    <w:rsid w:val="5F6C74C2"/>
    <w:rsid w:val="5F9D1350"/>
    <w:rsid w:val="5FA44AD1"/>
    <w:rsid w:val="5FAF2AD1"/>
    <w:rsid w:val="5FB122B4"/>
    <w:rsid w:val="5FBE370A"/>
    <w:rsid w:val="5FC61F2E"/>
    <w:rsid w:val="5FC83407"/>
    <w:rsid w:val="5FD56E87"/>
    <w:rsid w:val="5FF0558C"/>
    <w:rsid w:val="60015A45"/>
    <w:rsid w:val="601A27F4"/>
    <w:rsid w:val="601D5FF6"/>
    <w:rsid w:val="60292845"/>
    <w:rsid w:val="604E2038"/>
    <w:rsid w:val="605F5DD0"/>
    <w:rsid w:val="606F2632"/>
    <w:rsid w:val="6071543B"/>
    <w:rsid w:val="607921FE"/>
    <w:rsid w:val="607E12CC"/>
    <w:rsid w:val="608F62AE"/>
    <w:rsid w:val="60B9251B"/>
    <w:rsid w:val="60CC73D5"/>
    <w:rsid w:val="60E236C1"/>
    <w:rsid w:val="60E37983"/>
    <w:rsid w:val="61260B6B"/>
    <w:rsid w:val="612B3ABB"/>
    <w:rsid w:val="612E1A5D"/>
    <w:rsid w:val="613F45FE"/>
    <w:rsid w:val="614E5D7E"/>
    <w:rsid w:val="61816046"/>
    <w:rsid w:val="61BD04E4"/>
    <w:rsid w:val="61C81AB1"/>
    <w:rsid w:val="61CE2945"/>
    <w:rsid w:val="620B0059"/>
    <w:rsid w:val="62391564"/>
    <w:rsid w:val="624A22BE"/>
    <w:rsid w:val="6263230B"/>
    <w:rsid w:val="626E235A"/>
    <w:rsid w:val="626F60D5"/>
    <w:rsid w:val="62816669"/>
    <w:rsid w:val="6282086D"/>
    <w:rsid w:val="629007F7"/>
    <w:rsid w:val="62AB4D99"/>
    <w:rsid w:val="62B36CD7"/>
    <w:rsid w:val="62BA0953"/>
    <w:rsid w:val="62D03A7C"/>
    <w:rsid w:val="62F42FAE"/>
    <w:rsid w:val="62F648FE"/>
    <w:rsid w:val="63167A4F"/>
    <w:rsid w:val="631D2BD6"/>
    <w:rsid w:val="63260EB5"/>
    <w:rsid w:val="63271398"/>
    <w:rsid w:val="635356F3"/>
    <w:rsid w:val="637D5B70"/>
    <w:rsid w:val="63825E77"/>
    <w:rsid w:val="639808F7"/>
    <w:rsid w:val="63A10995"/>
    <w:rsid w:val="63C23EFA"/>
    <w:rsid w:val="63D255DA"/>
    <w:rsid w:val="63EB2168"/>
    <w:rsid w:val="63F854C1"/>
    <w:rsid w:val="63FB5857"/>
    <w:rsid w:val="64076B79"/>
    <w:rsid w:val="640B7654"/>
    <w:rsid w:val="64116D46"/>
    <w:rsid w:val="643A070A"/>
    <w:rsid w:val="64410A96"/>
    <w:rsid w:val="644C573D"/>
    <w:rsid w:val="64507EFB"/>
    <w:rsid w:val="64601415"/>
    <w:rsid w:val="64643621"/>
    <w:rsid w:val="646B603F"/>
    <w:rsid w:val="65032F85"/>
    <w:rsid w:val="651304A7"/>
    <w:rsid w:val="65136B50"/>
    <w:rsid w:val="6531690D"/>
    <w:rsid w:val="65320485"/>
    <w:rsid w:val="654C15C6"/>
    <w:rsid w:val="655938EB"/>
    <w:rsid w:val="655A12F3"/>
    <w:rsid w:val="657E2A35"/>
    <w:rsid w:val="65A94E9D"/>
    <w:rsid w:val="65B43F2F"/>
    <w:rsid w:val="65B96B3F"/>
    <w:rsid w:val="65BE1071"/>
    <w:rsid w:val="65C60A92"/>
    <w:rsid w:val="65DB19DF"/>
    <w:rsid w:val="660451CE"/>
    <w:rsid w:val="66144BD7"/>
    <w:rsid w:val="664B3BEB"/>
    <w:rsid w:val="664F1741"/>
    <w:rsid w:val="665346B7"/>
    <w:rsid w:val="666A5D6B"/>
    <w:rsid w:val="667C7CCE"/>
    <w:rsid w:val="66A12460"/>
    <w:rsid w:val="66BE2423"/>
    <w:rsid w:val="66DD6702"/>
    <w:rsid w:val="66E77BCB"/>
    <w:rsid w:val="66E856F1"/>
    <w:rsid w:val="66FB0BAD"/>
    <w:rsid w:val="671B1623"/>
    <w:rsid w:val="671E6EBA"/>
    <w:rsid w:val="6731269C"/>
    <w:rsid w:val="675352AA"/>
    <w:rsid w:val="6759400B"/>
    <w:rsid w:val="675E528D"/>
    <w:rsid w:val="676C598C"/>
    <w:rsid w:val="67966EFB"/>
    <w:rsid w:val="679E7FA1"/>
    <w:rsid w:val="67A32389"/>
    <w:rsid w:val="67B768D0"/>
    <w:rsid w:val="67C779FD"/>
    <w:rsid w:val="67C85DAF"/>
    <w:rsid w:val="68010D01"/>
    <w:rsid w:val="68281CFE"/>
    <w:rsid w:val="682A2352"/>
    <w:rsid w:val="682A2630"/>
    <w:rsid w:val="682E4A5B"/>
    <w:rsid w:val="682E7AFD"/>
    <w:rsid w:val="68707071"/>
    <w:rsid w:val="687A4379"/>
    <w:rsid w:val="687B015C"/>
    <w:rsid w:val="687E3889"/>
    <w:rsid w:val="6884222C"/>
    <w:rsid w:val="68A957C8"/>
    <w:rsid w:val="68A961D8"/>
    <w:rsid w:val="68AD17BB"/>
    <w:rsid w:val="68D6620B"/>
    <w:rsid w:val="68D94D22"/>
    <w:rsid w:val="68DD15F8"/>
    <w:rsid w:val="68F06F2B"/>
    <w:rsid w:val="69011241"/>
    <w:rsid w:val="692B2E4A"/>
    <w:rsid w:val="696A0B34"/>
    <w:rsid w:val="69821807"/>
    <w:rsid w:val="698D6A17"/>
    <w:rsid w:val="699026E3"/>
    <w:rsid w:val="699E0BED"/>
    <w:rsid w:val="699F0522"/>
    <w:rsid w:val="69D37590"/>
    <w:rsid w:val="69DF6DD8"/>
    <w:rsid w:val="69E25966"/>
    <w:rsid w:val="69F954C1"/>
    <w:rsid w:val="6A1E1E73"/>
    <w:rsid w:val="6A2031B6"/>
    <w:rsid w:val="6A2F57D7"/>
    <w:rsid w:val="6A3924BB"/>
    <w:rsid w:val="6A3C1D40"/>
    <w:rsid w:val="6A5C2020"/>
    <w:rsid w:val="6A6432E1"/>
    <w:rsid w:val="6A66350E"/>
    <w:rsid w:val="6A7C52F6"/>
    <w:rsid w:val="6AA23DFF"/>
    <w:rsid w:val="6AAA6F38"/>
    <w:rsid w:val="6AC61F6F"/>
    <w:rsid w:val="6AD34E53"/>
    <w:rsid w:val="6AD83EA1"/>
    <w:rsid w:val="6ADE74F0"/>
    <w:rsid w:val="6AF43982"/>
    <w:rsid w:val="6B1D62E8"/>
    <w:rsid w:val="6B723594"/>
    <w:rsid w:val="6B805156"/>
    <w:rsid w:val="6B945E48"/>
    <w:rsid w:val="6B974A7B"/>
    <w:rsid w:val="6BC27E90"/>
    <w:rsid w:val="6BD50977"/>
    <w:rsid w:val="6BE450D3"/>
    <w:rsid w:val="6BE576C4"/>
    <w:rsid w:val="6BE60C84"/>
    <w:rsid w:val="6C4F0900"/>
    <w:rsid w:val="6C6C32E1"/>
    <w:rsid w:val="6C6E3E15"/>
    <w:rsid w:val="6C8B1F5D"/>
    <w:rsid w:val="6CA85D3A"/>
    <w:rsid w:val="6CA94127"/>
    <w:rsid w:val="6CAA3931"/>
    <w:rsid w:val="6CB22A29"/>
    <w:rsid w:val="6CDA3D2E"/>
    <w:rsid w:val="6CE2512E"/>
    <w:rsid w:val="6CEA06D7"/>
    <w:rsid w:val="6CF70607"/>
    <w:rsid w:val="6D2759DC"/>
    <w:rsid w:val="6D325918"/>
    <w:rsid w:val="6D3708FB"/>
    <w:rsid w:val="6D3933CA"/>
    <w:rsid w:val="6D401810"/>
    <w:rsid w:val="6D474833"/>
    <w:rsid w:val="6D6261FE"/>
    <w:rsid w:val="6D7B222A"/>
    <w:rsid w:val="6D7B61EC"/>
    <w:rsid w:val="6D8E03AA"/>
    <w:rsid w:val="6DA63577"/>
    <w:rsid w:val="6DB44693"/>
    <w:rsid w:val="6DB67396"/>
    <w:rsid w:val="6DBB089F"/>
    <w:rsid w:val="6DC63038"/>
    <w:rsid w:val="6DD24A05"/>
    <w:rsid w:val="6DDC5608"/>
    <w:rsid w:val="6DE30DE0"/>
    <w:rsid w:val="6DE6130A"/>
    <w:rsid w:val="6E09491E"/>
    <w:rsid w:val="6E0D3655"/>
    <w:rsid w:val="6E1A437E"/>
    <w:rsid w:val="6E1E6EED"/>
    <w:rsid w:val="6E2D55C1"/>
    <w:rsid w:val="6E3A144E"/>
    <w:rsid w:val="6E3F5BFA"/>
    <w:rsid w:val="6E5606D3"/>
    <w:rsid w:val="6E5F4465"/>
    <w:rsid w:val="6E8B1663"/>
    <w:rsid w:val="6E8C54DA"/>
    <w:rsid w:val="6EB752BD"/>
    <w:rsid w:val="6EF11E03"/>
    <w:rsid w:val="6EF1241D"/>
    <w:rsid w:val="6EF82916"/>
    <w:rsid w:val="6F0B2DE7"/>
    <w:rsid w:val="6F0E572A"/>
    <w:rsid w:val="6F111C62"/>
    <w:rsid w:val="6F2176E5"/>
    <w:rsid w:val="6F3A2A5F"/>
    <w:rsid w:val="6F4F7F03"/>
    <w:rsid w:val="6F5523A2"/>
    <w:rsid w:val="6F592303"/>
    <w:rsid w:val="6F5F5B74"/>
    <w:rsid w:val="6F682400"/>
    <w:rsid w:val="6F887A72"/>
    <w:rsid w:val="6F9600A4"/>
    <w:rsid w:val="6F98032D"/>
    <w:rsid w:val="6F9A769F"/>
    <w:rsid w:val="6F9B1C65"/>
    <w:rsid w:val="6FA44937"/>
    <w:rsid w:val="6FAD3FB9"/>
    <w:rsid w:val="6FE82C9C"/>
    <w:rsid w:val="6FFB146E"/>
    <w:rsid w:val="70160742"/>
    <w:rsid w:val="7030610F"/>
    <w:rsid w:val="70612DB4"/>
    <w:rsid w:val="706516C3"/>
    <w:rsid w:val="70660714"/>
    <w:rsid w:val="70896E68"/>
    <w:rsid w:val="708A4844"/>
    <w:rsid w:val="70A37006"/>
    <w:rsid w:val="70C94DCA"/>
    <w:rsid w:val="70E05E9D"/>
    <w:rsid w:val="71073061"/>
    <w:rsid w:val="711A201F"/>
    <w:rsid w:val="71215AE9"/>
    <w:rsid w:val="712864E5"/>
    <w:rsid w:val="71396ACC"/>
    <w:rsid w:val="715B60E9"/>
    <w:rsid w:val="716F0EE9"/>
    <w:rsid w:val="717A5659"/>
    <w:rsid w:val="7196674D"/>
    <w:rsid w:val="719E245E"/>
    <w:rsid w:val="71BA3FE5"/>
    <w:rsid w:val="71EA1FED"/>
    <w:rsid w:val="71FC16CB"/>
    <w:rsid w:val="72165C6B"/>
    <w:rsid w:val="722021E3"/>
    <w:rsid w:val="72290340"/>
    <w:rsid w:val="722B6FBC"/>
    <w:rsid w:val="722C6DDA"/>
    <w:rsid w:val="72515945"/>
    <w:rsid w:val="7267639D"/>
    <w:rsid w:val="729243CB"/>
    <w:rsid w:val="72930C07"/>
    <w:rsid w:val="72BE1749"/>
    <w:rsid w:val="72DA68C7"/>
    <w:rsid w:val="72E661B1"/>
    <w:rsid w:val="730313F6"/>
    <w:rsid w:val="730E4732"/>
    <w:rsid w:val="732A315F"/>
    <w:rsid w:val="73370D24"/>
    <w:rsid w:val="73397FB3"/>
    <w:rsid w:val="73472C84"/>
    <w:rsid w:val="7359268C"/>
    <w:rsid w:val="735F327A"/>
    <w:rsid w:val="7366631C"/>
    <w:rsid w:val="736C263C"/>
    <w:rsid w:val="73723640"/>
    <w:rsid w:val="737311F5"/>
    <w:rsid w:val="739503EB"/>
    <w:rsid w:val="73A05B28"/>
    <w:rsid w:val="73C07D69"/>
    <w:rsid w:val="73C979D4"/>
    <w:rsid w:val="73DC335B"/>
    <w:rsid w:val="73F90F3E"/>
    <w:rsid w:val="740B60EC"/>
    <w:rsid w:val="74317212"/>
    <w:rsid w:val="745E7D35"/>
    <w:rsid w:val="7465362D"/>
    <w:rsid w:val="74675EA7"/>
    <w:rsid w:val="7475188D"/>
    <w:rsid w:val="749E16A8"/>
    <w:rsid w:val="74B42AE4"/>
    <w:rsid w:val="74C54993"/>
    <w:rsid w:val="74DA07A2"/>
    <w:rsid w:val="74EB68F6"/>
    <w:rsid w:val="750A429D"/>
    <w:rsid w:val="752739E7"/>
    <w:rsid w:val="752C019F"/>
    <w:rsid w:val="75474B47"/>
    <w:rsid w:val="75533AB0"/>
    <w:rsid w:val="75614792"/>
    <w:rsid w:val="75761866"/>
    <w:rsid w:val="75784473"/>
    <w:rsid w:val="758F494C"/>
    <w:rsid w:val="759142C0"/>
    <w:rsid w:val="7592164A"/>
    <w:rsid w:val="75B10995"/>
    <w:rsid w:val="75B161B3"/>
    <w:rsid w:val="75D014D5"/>
    <w:rsid w:val="75DC6C44"/>
    <w:rsid w:val="75E106F7"/>
    <w:rsid w:val="75F05CC0"/>
    <w:rsid w:val="762F6A19"/>
    <w:rsid w:val="76341B33"/>
    <w:rsid w:val="764F157E"/>
    <w:rsid w:val="76736B32"/>
    <w:rsid w:val="76807C04"/>
    <w:rsid w:val="76AF35EE"/>
    <w:rsid w:val="76C27A74"/>
    <w:rsid w:val="76C726A5"/>
    <w:rsid w:val="76E3765E"/>
    <w:rsid w:val="76FC2AFA"/>
    <w:rsid w:val="774358FC"/>
    <w:rsid w:val="77527424"/>
    <w:rsid w:val="77653671"/>
    <w:rsid w:val="77707007"/>
    <w:rsid w:val="778546CC"/>
    <w:rsid w:val="778B6B46"/>
    <w:rsid w:val="77A337B9"/>
    <w:rsid w:val="77B551B3"/>
    <w:rsid w:val="77B56730"/>
    <w:rsid w:val="77B92EBE"/>
    <w:rsid w:val="77C04A8B"/>
    <w:rsid w:val="77C33D3D"/>
    <w:rsid w:val="77D85DB3"/>
    <w:rsid w:val="77EB1B74"/>
    <w:rsid w:val="78007B88"/>
    <w:rsid w:val="782A3EA3"/>
    <w:rsid w:val="78490703"/>
    <w:rsid w:val="78611D42"/>
    <w:rsid w:val="78787280"/>
    <w:rsid w:val="78A50513"/>
    <w:rsid w:val="78C43087"/>
    <w:rsid w:val="78D37FAF"/>
    <w:rsid w:val="78EF7AB5"/>
    <w:rsid w:val="790D6849"/>
    <w:rsid w:val="795767E3"/>
    <w:rsid w:val="79586707"/>
    <w:rsid w:val="796518DD"/>
    <w:rsid w:val="796E5F2A"/>
    <w:rsid w:val="79724BEF"/>
    <w:rsid w:val="797264AC"/>
    <w:rsid w:val="79AA0532"/>
    <w:rsid w:val="79FA22BC"/>
    <w:rsid w:val="79FE1DDD"/>
    <w:rsid w:val="7A075767"/>
    <w:rsid w:val="7A0C15B3"/>
    <w:rsid w:val="7A212062"/>
    <w:rsid w:val="7A2522C9"/>
    <w:rsid w:val="7A282A11"/>
    <w:rsid w:val="7A3A59B8"/>
    <w:rsid w:val="7A5D0F75"/>
    <w:rsid w:val="7A7137F7"/>
    <w:rsid w:val="7A715CD2"/>
    <w:rsid w:val="7A8131B3"/>
    <w:rsid w:val="7A85177D"/>
    <w:rsid w:val="7A921E9A"/>
    <w:rsid w:val="7A9E53BF"/>
    <w:rsid w:val="7AA914B9"/>
    <w:rsid w:val="7ABF2475"/>
    <w:rsid w:val="7AC21562"/>
    <w:rsid w:val="7AD474A4"/>
    <w:rsid w:val="7AF967A3"/>
    <w:rsid w:val="7AFC38DE"/>
    <w:rsid w:val="7B303E8C"/>
    <w:rsid w:val="7B7D6B6D"/>
    <w:rsid w:val="7B865D50"/>
    <w:rsid w:val="7B8D34C3"/>
    <w:rsid w:val="7B8E6714"/>
    <w:rsid w:val="7B971D84"/>
    <w:rsid w:val="7BAB0CB7"/>
    <w:rsid w:val="7BB4028F"/>
    <w:rsid w:val="7BC1107E"/>
    <w:rsid w:val="7BF32F03"/>
    <w:rsid w:val="7BF50D2C"/>
    <w:rsid w:val="7C066F4E"/>
    <w:rsid w:val="7C1724A5"/>
    <w:rsid w:val="7C744877"/>
    <w:rsid w:val="7C8561DF"/>
    <w:rsid w:val="7CA54112"/>
    <w:rsid w:val="7CA553D9"/>
    <w:rsid w:val="7CAB27F5"/>
    <w:rsid w:val="7CAF438A"/>
    <w:rsid w:val="7CCE726D"/>
    <w:rsid w:val="7CD71EA3"/>
    <w:rsid w:val="7CE50CE4"/>
    <w:rsid w:val="7CE94EE1"/>
    <w:rsid w:val="7CF877E9"/>
    <w:rsid w:val="7D134762"/>
    <w:rsid w:val="7D244CB3"/>
    <w:rsid w:val="7D2E5ABF"/>
    <w:rsid w:val="7D4A45B8"/>
    <w:rsid w:val="7D535AC7"/>
    <w:rsid w:val="7D964A74"/>
    <w:rsid w:val="7DA024D6"/>
    <w:rsid w:val="7DFB43EA"/>
    <w:rsid w:val="7E007625"/>
    <w:rsid w:val="7E0737C8"/>
    <w:rsid w:val="7E131C51"/>
    <w:rsid w:val="7E176B90"/>
    <w:rsid w:val="7E2142A2"/>
    <w:rsid w:val="7E240411"/>
    <w:rsid w:val="7E48335A"/>
    <w:rsid w:val="7E797DE5"/>
    <w:rsid w:val="7E7B0BF2"/>
    <w:rsid w:val="7E8D75B6"/>
    <w:rsid w:val="7E8E672B"/>
    <w:rsid w:val="7E9A6619"/>
    <w:rsid w:val="7EA27DDF"/>
    <w:rsid w:val="7EC67BB0"/>
    <w:rsid w:val="7ED809AD"/>
    <w:rsid w:val="7EE202FC"/>
    <w:rsid w:val="7EF760EE"/>
    <w:rsid w:val="7F0E0681"/>
    <w:rsid w:val="7F2536B5"/>
    <w:rsid w:val="7F2C3CE7"/>
    <w:rsid w:val="7F5A01CA"/>
    <w:rsid w:val="7F75661B"/>
    <w:rsid w:val="7FB17429"/>
    <w:rsid w:val="7FC237CA"/>
    <w:rsid w:val="7FF1276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qFormat="1" w:uiPriority="99" w:semiHidden="0"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adjustRightInd w:val="0"/>
      <w:snapToGrid w:val="0"/>
      <w:spacing w:line="360" w:lineRule="auto"/>
    </w:pPr>
    <w:rPr>
      <w:rFonts w:ascii="Tahoma" w:hAnsi="Tahoma" w:eastAsia="宋体" w:cstheme="minorBidi"/>
      <w:sz w:val="21"/>
      <w:szCs w:val="22"/>
      <w:lang w:val="en-US" w:eastAsia="zh-CN" w:bidi="ar-SA"/>
    </w:rPr>
  </w:style>
  <w:style w:type="paragraph" w:styleId="5">
    <w:name w:val="heading 1"/>
    <w:basedOn w:val="1"/>
    <w:next w:val="1"/>
    <w:link w:val="77"/>
    <w:autoRedefine/>
    <w:qFormat/>
    <w:uiPriority w:val="9"/>
    <w:pPr>
      <w:keepNext/>
      <w:keepLines/>
      <w:spacing w:before="340" w:after="330" w:line="576" w:lineRule="auto"/>
      <w:outlineLvl w:val="0"/>
    </w:pPr>
    <w:rPr>
      <w:b/>
      <w:kern w:val="44"/>
      <w:sz w:val="44"/>
    </w:rPr>
  </w:style>
  <w:style w:type="paragraph" w:styleId="6">
    <w:name w:val="heading 2"/>
    <w:basedOn w:val="1"/>
    <w:next w:val="1"/>
    <w:link w:val="43"/>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44"/>
    <w:autoRedefine/>
    <w:unhideWhenUsed/>
    <w:qFormat/>
    <w:uiPriority w:val="9"/>
    <w:pPr>
      <w:keepNext/>
      <w:keepLines/>
      <w:spacing w:before="260" w:after="260" w:line="416" w:lineRule="auto"/>
      <w:outlineLvl w:val="2"/>
    </w:pPr>
    <w:rPr>
      <w:b/>
      <w:bCs/>
      <w:sz w:val="32"/>
      <w:szCs w:val="32"/>
    </w:rPr>
  </w:style>
  <w:style w:type="paragraph" w:styleId="8">
    <w:name w:val="heading 4"/>
    <w:basedOn w:val="1"/>
    <w:next w:val="1"/>
    <w:link w:val="46"/>
    <w:autoRedefine/>
    <w:unhideWhenUsed/>
    <w:qFormat/>
    <w:uiPriority w:val="9"/>
    <w:pPr>
      <w:keepNext/>
      <w:keepLines/>
      <w:outlineLvl w:val="3"/>
    </w:pPr>
    <w:rPr>
      <w:rFonts w:asciiTheme="majorHAnsi" w:hAnsiTheme="majorHAnsi" w:cstheme="majorBidi"/>
      <w:b/>
      <w:bCs/>
      <w:sz w:val="24"/>
      <w:szCs w:val="28"/>
    </w:rPr>
  </w:style>
  <w:style w:type="paragraph" w:styleId="9">
    <w:name w:val="heading 5"/>
    <w:basedOn w:val="1"/>
    <w:next w:val="1"/>
    <w:link w:val="76"/>
    <w:autoRedefine/>
    <w:unhideWhenUsed/>
    <w:qFormat/>
    <w:uiPriority w:val="9"/>
    <w:pPr>
      <w:keepNext/>
      <w:keepLines/>
      <w:spacing w:before="280" w:after="290" w:line="372" w:lineRule="auto"/>
      <w:outlineLvl w:val="4"/>
    </w:pPr>
    <w:rPr>
      <w:b/>
      <w:sz w:val="28"/>
    </w:rPr>
  </w:style>
  <w:style w:type="character" w:default="1" w:styleId="34">
    <w:name w:val="Default Paragraph Font"/>
    <w:autoRedefine/>
    <w:unhideWhenUsed/>
    <w:qFormat/>
    <w:uiPriority w:val="1"/>
  </w:style>
  <w:style w:type="table" w:default="1" w:styleId="32">
    <w:name w:val="Normal Table"/>
    <w:autoRedefine/>
    <w:unhideWhenUsed/>
    <w:qFormat/>
    <w:uiPriority w:val="99"/>
    <w:tblPr>
      <w:tblCellMar>
        <w:top w:w="0" w:type="dxa"/>
        <w:left w:w="108" w:type="dxa"/>
        <w:bottom w:w="0" w:type="dxa"/>
        <w:right w:w="108" w:type="dxa"/>
      </w:tblCellMar>
    </w:tblPr>
  </w:style>
  <w:style w:type="paragraph" w:styleId="2">
    <w:name w:val="Body Text"/>
    <w:basedOn w:val="1"/>
    <w:next w:val="3"/>
    <w:link w:val="68"/>
    <w:autoRedefine/>
    <w:qFormat/>
    <w:uiPriority w:val="1"/>
    <w:pPr>
      <w:spacing w:before="161"/>
      <w:ind w:left="120"/>
    </w:pPr>
    <w:rPr>
      <w:rFonts w:ascii="宋体" w:hAnsi="宋体" w:cs="宋体"/>
      <w:sz w:val="24"/>
      <w:lang w:val="zh-CN" w:bidi="zh-CN"/>
    </w:rPr>
  </w:style>
  <w:style w:type="paragraph" w:styleId="3">
    <w:name w:val="Body Text Indent"/>
    <w:basedOn w:val="1"/>
    <w:next w:val="4"/>
    <w:autoRedefine/>
    <w:qFormat/>
    <w:uiPriority w:val="0"/>
    <w:pPr>
      <w:ind w:left="359" w:leftChars="171" w:firstLine="179" w:firstLineChars="85"/>
    </w:pPr>
    <w:rPr>
      <w:rFonts w:ascii="宋体" w:hAnsi="宋体"/>
      <w:b/>
      <w:bCs/>
      <w:szCs w:val="26"/>
    </w:rPr>
  </w:style>
  <w:style w:type="paragraph" w:styleId="4">
    <w:name w:val="envelope return"/>
    <w:basedOn w:val="1"/>
    <w:autoRedefine/>
    <w:unhideWhenUsed/>
    <w:qFormat/>
    <w:uiPriority w:val="99"/>
  </w:style>
  <w:style w:type="paragraph" w:styleId="10">
    <w:name w:val="toc 7"/>
    <w:basedOn w:val="1"/>
    <w:next w:val="1"/>
    <w:autoRedefine/>
    <w:unhideWhenUsed/>
    <w:qFormat/>
    <w:uiPriority w:val="39"/>
    <w:pPr>
      <w:widowControl w:val="0"/>
      <w:adjustRightInd/>
      <w:snapToGrid/>
      <w:spacing w:line="240" w:lineRule="auto"/>
      <w:ind w:left="2520" w:leftChars="1200"/>
      <w:jc w:val="both"/>
    </w:pPr>
    <w:rPr>
      <w:rFonts w:asciiTheme="minorHAnsi" w:hAnsiTheme="minorHAnsi" w:eastAsiaTheme="minorEastAsia"/>
      <w:kern w:val="2"/>
    </w:rPr>
  </w:style>
  <w:style w:type="paragraph" w:styleId="11">
    <w:name w:val="Normal Indent"/>
    <w:basedOn w:val="1"/>
    <w:autoRedefine/>
    <w:qFormat/>
    <w:uiPriority w:val="0"/>
    <w:pPr>
      <w:widowControl/>
      <w:autoSpaceDE/>
      <w:autoSpaceDN/>
      <w:adjustRightInd/>
      <w:ind w:firstLine="420" w:firstLineChars="200"/>
    </w:pPr>
    <w:rPr>
      <w:rFonts w:ascii="Times New Roman" w:hAnsi="Calibri" w:eastAsia="宋体" w:cs="Times New Roman"/>
      <w:sz w:val="20"/>
      <w:szCs w:val="20"/>
    </w:rPr>
  </w:style>
  <w:style w:type="paragraph" w:styleId="12">
    <w:name w:val="toa heading"/>
    <w:basedOn w:val="1"/>
    <w:next w:val="1"/>
    <w:autoRedefine/>
    <w:qFormat/>
    <w:uiPriority w:val="0"/>
    <w:pPr>
      <w:snapToGrid w:val="0"/>
      <w:spacing w:before="120" w:line="360" w:lineRule="auto"/>
      <w:jc w:val="both"/>
    </w:pPr>
    <w:rPr>
      <w:rFonts w:ascii="Arial" w:hAnsi="Arial"/>
      <w:color w:val="000000"/>
      <w:sz w:val="21"/>
      <w:szCs w:val="20"/>
    </w:rPr>
  </w:style>
  <w:style w:type="paragraph" w:styleId="13">
    <w:name w:val="annotation text"/>
    <w:basedOn w:val="1"/>
    <w:link w:val="65"/>
    <w:autoRedefine/>
    <w:unhideWhenUsed/>
    <w:qFormat/>
    <w:uiPriority w:val="99"/>
  </w:style>
  <w:style w:type="paragraph" w:styleId="14">
    <w:name w:val="toc 5"/>
    <w:basedOn w:val="1"/>
    <w:next w:val="1"/>
    <w:autoRedefine/>
    <w:unhideWhenUsed/>
    <w:qFormat/>
    <w:uiPriority w:val="39"/>
    <w:pPr>
      <w:widowControl w:val="0"/>
      <w:adjustRightInd/>
      <w:snapToGrid/>
      <w:spacing w:line="240" w:lineRule="auto"/>
      <w:ind w:left="1680" w:leftChars="800"/>
      <w:jc w:val="both"/>
    </w:pPr>
    <w:rPr>
      <w:rFonts w:asciiTheme="minorHAnsi" w:hAnsiTheme="minorHAnsi" w:eastAsiaTheme="minorEastAsia"/>
      <w:kern w:val="2"/>
    </w:rPr>
  </w:style>
  <w:style w:type="paragraph" w:styleId="15">
    <w:name w:val="toc 3"/>
    <w:basedOn w:val="1"/>
    <w:next w:val="1"/>
    <w:autoRedefine/>
    <w:unhideWhenUsed/>
    <w:qFormat/>
    <w:uiPriority w:val="39"/>
    <w:pPr>
      <w:tabs>
        <w:tab w:val="right" w:leader="dot" w:pos="8296"/>
      </w:tabs>
      <w:ind w:left="838" w:leftChars="381"/>
    </w:pPr>
    <w:rPr>
      <w:szCs w:val="21"/>
    </w:rPr>
  </w:style>
  <w:style w:type="paragraph" w:styleId="16">
    <w:name w:val="Plain Text"/>
    <w:basedOn w:val="1"/>
    <w:link w:val="57"/>
    <w:autoRedefine/>
    <w:qFormat/>
    <w:uiPriority w:val="0"/>
    <w:pPr>
      <w:widowControl w:val="0"/>
      <w:adjustRightInd/>
      <w:snapToGrid/>
      <w:jc w:val="both"/>
    </w:pPr>
    <w:rPr>
      <w:rFonts w:ascii="宋体" w:hAnsi="Courier New" w:cs="Times New Roman"/>
      <w:b/>
      <w:kern w:val="2"/>
      <w:szCs w:val="20"/>
    </w:rPr>
  </w:style>
  <w:style w:type="paragraph" w:styleId="17">
    <w:name w:val="toc 8"/>
    <w:basedOn w:val="1"/>
    <w:next w:val="1"/>
    <w:autoRedefine/>
    <w:unhideWhenUsed/>
    <w:qFormat/>
    <w:uiPriority w:val="39"/>
    <w:pPr>
      <w:widowControl w:val="0"/>
      <w:adjustRightInd/>
      <w:snapToGrid/>
      <w:spacing w:line="240" w:lineRule="auto"/>
      <w:ind w:left="2940" w:leftChars="1400"/>
      <w:jc w:val="both"/>
    </w:pPr>
    <w:rPr>
      <w:rFonts w:asciiTheme="minorHAnsi" w:hAnsiTheme="minorHAnsi" w:eastAsiaTheme="minorEastAsia"/>
      <w:kern w:val="2"/>
    </w:rPr>
  </w:style>
  <w:style w:type="paragraph" w:styleId="18">
    <w:name w:val="Balloon Text"/>
    <w:basedOn w:val="1"/>
    <w:link w:val="60"/>
    <w:autoRedefine/>
    <w:unhideWhenUsed/>
    <w:qFormat/>
    <w:uiPriority w:val="99"/>
    <w:rPr>
      <w:sz w:val="18"/>
      <w:szCs w:val="18"/>
    </w:rPr>
  </w:style>
  <w:style w:type="paragraph" w:styleId="19">
    <w:name w:val="footer"/>
    <w:basedOn w:val="1"/>
    <w:link w:val="59"/>
    <w:autoRedefine/>
    <w:unhideWhenUsed/>
    <w:qFormat/>
    <w:uiPriority w:val="99"/>
    <w:pPr>
      <w:tabs>
        <w:tab w:val="center" w:pos="4153"/>
        <w:tab w:val="right" w:pos="8306"/>
      </w:tabs>
    </w:pPr>
    <w:rPr>
      <w:sz w:val="18"/>
      <w:szCs w:val="18"/>
    </w:rPr>
  </w:style>
  <w:style w:type="paragraph" w:styleId="20">
    <w:name w:val="header"/>
    <w:basedOn w:val="1"/>
    <w:next w:val="1"/>
    <w:link w:val="58"/>
    <w:autoRedefine/>
    <w:unhideWhenUsed/>
    <w:qFormat/>
    <w:uiPriority w:val="99"/>
    <w:pPr>
      <w:pBdr>
        <w:bottom w:val="single" w:color="auto" w:sz="6" w:space="1"/>
      </w:pBdr>
      <w:tabs>
        <w:tab w:val="center" w:pos="4153"/>
        <w:tab w:val="right" w:pos="8306"/>
      </w:tabs>
      <w:jc w:val="center"/>
    </w:pPr>
    <w:rPr>
      <w:sz w:val="18"/>
      <w:szCs w:val="18"/>
    </w:rPr>
  </w:style>
  <w:style w:type="paragraph" w:styleId="21">
    <w:name w:val="toc 1"/>
    <w:basedOn w:val="1"/>
    <w:next w:val="1"/>
    <w:autoRedefine/>
    <w:unhideWhenUsed/>
    <w:qFormat/>
    <w:uiPriority w:val="39"/>
  </w:style>
  <w:style w:type="paragraph" w:styleId="22">
    <w:name w:val="toc 4"/>
    <w:basedOn w:val="1"/>
    <w:next w:val="1"/>
    <w:autoRedefine/>
    <w:unhideWhenUsed/>
    <w:qFormat/>
    <w:uiPriority w:val="39"/>
    <w:pPr>
      <w:tabs>
        <w:tab w:val="right" w:leader="dot" w:pos="8296"/>
      </w:tabs>
      <w:spacing w:after="120"/>
      <w:ind w:left="1320" w:leftChars="600"/>
    </w:pPr>
  </w:style>
  <w:style w:type="paragraph" w:styleId="23">
    <w:name w:val="footnote text"/>
    <w:basedOn w:val="1"/>
    <w:autoRedefine/>
    <w:unhideWhenUsed/>
    <w:qFormat/>
    <w:uiPriority w:val="99"/>
    <w:rPr>
      <w:sz w:val="18"/>
    </w:rPr>
  </w:style>
  <w:style w:type="paragraph" w:styleId="24">
    <w:name w:val="toc 6"/>
    <w:basedOn w:val="1"/>
    <w:next w:val="1"/>
    <w:autoRedefine/>
    <w:qFormat/>
    <w:uiPriority w:val="39"/>
    <w:pPr>
      <w:ind w:left="1200"/>
    </w:pPr>
    <w:rPr>
      <w:rFonts w:ascii="Calibri" w:cs="Calibri"/>
      <w:sz w:val="18"/>
      <w:szCs w:val="18"/>
    </w:rPr>
  </w:style>
  <w:style w:type="paragraph" w:styleId="25">
    <w:name w:val="toc 2"/>
    <w:basedOn w:val="1"/>
    <w:next w:val="1"/>
    <w:autoRedefine/>
    <w:unhideWhenUsed/>
    <w:qFormat/>
    <w:uiPriority w:val="39"/>
    <w:pPr>
      <w:tabs>
        <w:tab w:val="right" w:leader="dot" w:pos="8296"/>
      </w:tabs>
      <w:ind w:left="440" w:leftChars="200"/>
      <w:jc w:val="center"/>
    </w:pPr>
    <w:rPr>
      <w:rFonts w:ascii="宋体" w:hAnsi="宋体"/>
      <w:sz w:val="30"/>
      <w:szCs w:val="30"/>
    </w:rPr>
  </w:style>
  <w:style w:type="paragraph" w:styleId="26">
    <w:name w:val="toc 9"/>
    <w:basedOn w:val="1"/>
    <w:next w:val="1"/>
    <w:autoRedefine/>
    <w:unhideWhenUsed/>
    <w:qFormat/>
    <w:uiPriority w:val="39"/>
    <w:pPr>
      <w:widowControl w:val="0"/>
      <w:adjustRightInd/>
      <w:snapToGrid/>
      <w:spacing w:line="240" w:lineRule="auto"/>
      <w:ind w:left="3360" w:leftChars="1600"/>
      <w:jc w:val="both"/>
    </w:pPr>
    <w:rPr>
      <w:rFonts w:asciiTheme="minorHAnsi" w:hAnsiTheme="minorHAnsi" w:eastAsiaTheme="minorEastAsia"/>
      <w:kern w:val="2"/>
    </w:rPr>
  </w:style>
  <w:style w:type="paragraph" w:styleId="27">
    <w:name w:val="HTML Preformatted"/>
    <w:basedOn w:val="1"/>
    <w:autoRedefine/>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8">
    <w:name w:val="Normal (Web)"/>
    <w:basedOn w:val="1"/>
    <w:link w:val="62"/>
    <w:autoRedefine/>
    <w:qFormat/>
    <w:uiPriority w:val="0"/>
    <w:pPr>
      <w:widowControl w:val="0"/>
      <w:adjustRightInd/>
      <w:snapToGrid/>
      <w:jc w:val="both"/>
    </w:pPr>
    <w:rPr>
      <w:rFonts w:asciiTheme="minorHAnsi" w:hAnsiTheme="minorHAnsi"/>
      <w:kern w:val="2"/>
      <w:sz w:val="24"/>
      <w:szCs w:val="24"/>
    </w:rPr>
  </w:style>
  <w:style w:type="paragraph" w:styleId="29">
    <w:name w:val="annotation subject"/>
    <w:basedOn w:val="13"/>
    <w:next w:val="13"/>
    <w:link w:val="66"/>
    <w:autoRedefine/>
    <w:unhideWhenUsed/>
    <w:qFormat/>
    <w:uiPriority w:val="99"/>
    <w:rPr>
      <w:b/>
      <w:bCs/>
    </w:rPr>
  </w:style>
  <w:style w:type="paragraph" w:styleId="30">
    <w:name w:val="Body Text First Indent"/>
    <w:basedOn w:val="2"/>
    <w:next w:val="1"/>
    <w:autoRedefine/>
    <w:qFormat/>
    <w:uiPriority w:val="0"/>
    <w:pPr>
      <w:spacing w:after="120"/>
      <w:ind w:firstLine="420" w:firstLineChars="100"/>
    </w:pPr>
    <w:rPr>
      <w:bCs/>
      <w:szCs w:val="21"/>
    </w:rPr>
  </w:style>
  <w:style w:type="paragraph" w:styleId="31">
    <w:name w:val="Body Text First Indent 2"/>
    <w:basedOn w:val="3"/>
    <w:autoRedefine/>
    <w:unhideWhenUsed/>
    <w:qFormat/>
    <w:uiPriority w:val="0"/>
    <w:pPr>
      <w:autoSpaceDE w:val="0"/>
      <w:autoSpaceDN w:val="0"/>
      <w:adjustRightInd w:val="0"/>
      <w:spacing w:after="120"/>
      <w:ind w:left="420" w:leftChars="200" w:firstLine="420" w:firstLineChars="200"/>
      <w:jc w:val="left"/>
    </w:pPr>
    <w:rPr>
      <w:rFonts w:ascii="宋体" w:hAnsi="Times New Roman"/>
      <w:kern w:val="0"/>
      <w:sz w:val="24"/>
      <w:szCs w:val="24"/>
    </w:rPr>
  </w:style>
  <w:style w:type="table" w:styleId="33">
    <w:name w:val="Table Grid"/>
    <w:basedOn w:val="3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autoRedefine/>
    <w:qFormat/>
    <w:uiPriority w:val="22"/>
    <w:rPr>
      <w:b/>
      <w:bCs/>
    </w:rPr>
  </w:style>
  <w:style w:type="character" w:styleId="36">
    <w:name w:val="page number"/>
    <w:basedOn w:val="34"/>
    <w:autoRedefine/>
    <w:qFormat/>
    <w:uiPriority w:val="0"/>
  </w:style>
  <w:style w:type="character" w:styleId="37">
    <w:name w:val="Emphasis"/>
    <w:basedOn w:val="34"/>
    <w:autoRedefine/>
    <w:qFormat/>
    <w:uiPriority w:val="20"/>
    <w:rPr>
      <w:i/>
      <w:iCs/>
    </w:rPr>
  </w:style>
  <w:style w:type="character" w:styleId="38">
    <w:name w:val="Hyperlink"/>
    <w:autoRedefine/>
    <w:qFormat/>
    <w:uiPriority w:val="99"/>
    <w:rPr>
      <w:rFonts w:hint="eastAsia" w:ascii="宋体" w:hAnsi="宋体" w:eastAsia="宋体" w:cs="宋体"/>
      <w:b/>
      <w:color w:val="0031C1"/>
      <w:kern w:val="0"/>
      <w:sz w:val="18"/>
      <w:szCs w:val="18"/>
      <w:u w:val="none"/>
      <w:lang w:eastAsia="en-US"/>
    </w:rPr>
  </w:style>
  <w:style w:type="character" w:styleId="39">
    <w:name w:val="annotation reference"/>
    <w:basedOn w:val="34"/>
    <w:autoRedefine/>
    <w:unhideWhenUsed/>
    <w:qFormat/>
    <w:uiPriority w:val="99"/>
    <w:rPr>
      <w:sz w:val="21"/>
      <w:szCs w:val="21"/>
    </w:rPr>
  </w:style>
  <w:style w:type="character" w:styleId="40">
    <w:name w:val="footnote reference"/>
    <w:basedOn w:val="34"/>
    <w:autoRedefine/>
    <w:unhideWhenUsed/>
    <w:qFormat/>
    <w:uiPriority w:val="99"/>
    <w:rPr>
      <w:vertAlign w:val="superscript"/>
    </w:rPr>
  </w:style>
  <w:style w:type="paragraph" w:customStyle="1" w:styleId="41">
    <w:name w:val="样式 正文首行缩进 + 首行缩进:  1 字符"/>
    <w:basedOn w:val="1"/>
    <w:next w:val="1"/>
    <w:autoRedefine/>
    <w:qFormat/>
    <w:uiPriority w:val="0"/>
    <w:pPr>
      <w:ind w:firstLine="200" w:firstLineChars="200"/>
    </w:pPr>
    <w:rPr>
      <w:rFonts w:cs="宋体"/>
      <w:szCs w:val="20"/>
    </w:rPr>
  </w:style>
  <w:style w:type="paragraph" w:customStyle="1" w:styleId="42">
    <w:name w:val="首行缩进"/>
    <w:basedOn w:val="1"/>
    <w:autoRedefine/>
    <w:qFormat/>
    <w:uiPriority w:val="0"/>
    <w:pPr>
      <w:adjustRightInd/>
      <w:spacing w:line="300" w:lineRule="auto"/>
      <w:ind w:firstLine="420" w:firstLineChars="200"/>
      <w:jc w:val="both"/>
    </w:pPr>
    <w:rPr>
      <w:rFonts w:ascii="Calibri" w:hAnsi="Calibri" w:eastAsia="方正书宋简体" w:cs="Times New Roman"/>
      <w:sz w:val="20"/>
    </w:rPr>
  </w:style>
  <w:style w:type="character" w:customStyle="1" w:styleId="43">
    <w:name w:val="标题 2 字符"/>
    <w:basedOn w:val="34"/>
    <w:link w:val="6"/>
    <w:autoRedefine/>
    <w:qFormat/>
    <w:uiPriority w:val="9"/>
    <w:rPr>
      <w:rFonts w:asciiTheme="majorHAnsi" w:hAnsiTheme="majorHAnsi" w:eastAsiaTheme="majorEastAsia" w:cstheme="majorBidi"/>
      <w:b/>
      <w:bCs/>
      <w:sz w:val="32"/>
      <w:szCs w:val="32"/>
    </w:rPr>
  </w:style>
  <w:style w:type="character" w:customStyle="1" w:styleId="44">
    <w:name w:val="标题 3 字符"/>
    <w:basedOn w:val="34"/>
    <w:link w:val="7"/>
    <w:autoRedefine/>
    <w:qFormat/>
    <w:uiPriority w:val="9"/>
    <w:rPr>
      <w:rFonts w:ascii="Tahoma" w:hAnsi="Tahoma"/>
      <w:b/>
      <w:bCs/>
      <w:sz w:val="32"/>
      <w:szCs w:val="32"/>
    </w:rPr>
  </w:style>
  <w:style w:type="paragraph" w:customStyle="1" w:styleId="45">
    <w:name w:val="List Paragraph"/>
    <w:basedOn w:val="1"/>
    <w:link w:val="67"/>
    <w:autoRedefine/>
    <w:qFormat/>
    <w:uiPriority w:val="0"/>
    <w:pPr>
      <w:ind w:firstLine="420" w:firstLineChars="200"/>
    </w:pPr>
  </w:style>
  <w:style w:type="character" w:customStyle="1" w:styleId="46">
    <w:name w:val="标题 4 字符"/>
    <w:basedOn w:val="34"/>
    <w:link w:val="8"/>
    <w:autoRedefine/>
    <w:qFormat/>
    <w:uiPriority w:val="9"/>
    <w:rPr>
      <w:rFonts w:eastAsia="宋体" w:asciiTheme="majorHAnsi" w:hAnsiTheme="majorHAnsi" w:cstheme="majorBidi"/>
      <w:b/>
      <w:bCs/>
      <w:sz w:val="24"/>
      <w:szCs w:val="28"/>
    </w:rPr>
  </w:style>
  <w:style w:type="character" w:customStyle="1" w:styleId="47">
    <w:name w:val="正文缩进2格 Char"/>
    <w:link w:val="48"/>
    <w:autoRedefine/>
    <w:qFormat/>
    <w:uiPriority w:val="0"/>
    <w:rPr>
      <w:rFonts w:ascii="仿宋_GB2312" w:hAnsi="宋体" w:eastAsia="仿宋_GB2312"/>
      <w:kern w:val="2"/>
      <w:sz w:val="31"/>
    </w:rPr>
  </w:style>
  <w:style w:type="paragraph" w:customStyle="1" w:styleId="48">
    <w:name w:val="正文缩进2格"/>
    <w:basedOn w:val="1"/>
    <w:link w:val="47"/>
    <w:autoRedefine/>
    <w:qFormat/>
    <w:uiPriority w:val="0"/>
    <w:pPr>
      <w:widowControl w:val="0"/>
      <w:adjustRightInd/>
      <w:snapToGrid/>
      <w:spacing w:line="600" w:lineRule="exact"/>
      <w:ind w:firstLine="639" w:firstLineChars="206"/>
      <w:jc w:val="both"/>
    </w:pPr>
    <w:rPr>
      <w:rFonts w:ascii="仿宋_GB2312" w:hAnsi="宋体" w:eastAsia="仿宋_GB2312"/>
      <w:kern w:val="2"/>
      <w:sz w:val="31"/>
    </w:rPr>
  </w:style>
  <w:style w:type="paragraph" w:customStyle="1" w:styleId="49">
    <w:name w:val="正文缩进4格"/>
    <w:basedOn w:val="48"/>
    <w:autoRedefine/>
    <w:qFormat/>
    <w:uiPriority w:val="0"/>
    <w:pPr>
      <w:ind w:left="2" w:firstLine="538" w:firstLineChars="192"/>
    </w:pPr>
    <w:rPr>
      <w:color w:val="0000FF"/>
      <w:sz w:val="28"/>
    </w:rPr>
  </w:style>
  <w:style w:type="character" w:customStyle="1" w:styleId="50">
    <w:name w:val="正文缩进2格 Char Char"/>
    <w:autoRedefine/>
    <w:qFormat/>
    <w:uiPriority w:val="0"/>
    <w:rPr>
      <w:rFonts w:ascii="仿宋_GB2312" w:hAnsi="宋体" w:eastAsia="仿宋_GB2312" w:cs="Times New Roman"/>
      <w:b/>
      <w:kern w:val="2"/>
      <w:sz w:val="31"/>
      <w:szCs w:val="28"/>
      <w:lang w:val="en-US" w:eastAsia="zh-CN" w:bidi="ar-SA"/>
    </w:rPr>
  </w:style>
  <w:style w:type="paragraph" w:customStyle="1" w:styleId="51">
    <w:name w:val="_Style 3"/>
    <w:basedOn w:val="1"/>
    <w:autoRedefine/>
    <w:qFormat/>
    <w:uiPriority w:val="0"/>
    <w:pPr>
      <w:widowControl w:val="0"/>
      <w:adjustRightInd/>
      <w:snapToGrid/>
      <w:ind w:firstLine="420" w:firstLineChars="200"/>
      <w:jc w:val="both"/>
    </w:pPr>
    <w:rPr>
      <w:rFonts w:ascii="Times New Roman" w:hAnsi="Times New Roman" w:cs="Times New Roman"/>
      <w:kern w:val="2"/>
      <w:szCs w:val="24"/>
    </w:rPr>
  </w:style>
  <w:style w:type="character" w:customStyle="1" w:styleId="52">
    <w:name w:val="标题1"/>
    <w:autoRedefine/>
    <w:qFormat/>
    <w:uiPriority w:val="0"/>
    <w:rPr>
      <w:rFonts w:ascii="Times New Roman" w:hAnsi="Times New Roman" w:eastAsia="宋体" w:cs="Times New Roman"/>
      <w:b/>
      <w:kern w:val="0"/>
      <w:sz w:val="24"/>
      <w:szCs w:val="20"/>
      <w:lang w:eastAsia="en-US"/>
    </w:rPr>
  </w:style>
  <w:style w:type="character" w:customStyle="1" w:styleId="53">
    <w:name w:val="标题 3.1 Char"/>
    <w:link w:val="54"/>
    <w:autoRedefine/>
    <w:qFormat/>
    <w:uiPriority w:val="0"/>
    <w:rPr>
      <w:rFonts w:ascii="宋体" w:hAnsi="宋体" w:eastAsia="宋体"/>
      <w:b/>
      <w:color w:val="FF0000"/>
      <w:kern w:val="2"/>
      <w:sz w:val="32"/>
    </w:rPr>
  </w:style>
  <w:style w:type="paragraph" w:customStyle="1" w:styleId="54">
    <w:name w:val="标题 3.1"/>
    <w:basedOn w:val="7"/>
    <w:link w:val="53"/>
    <w:autoRedefine/>
    <w:qFormat/>
    <w:uiPriority w:val="0"/>
    <w:pPr>
      <w:widowControl w:val="0"/>
      <w:tabs>
        <w:tab w:val="left" w:pos="1440"/>
        <w:tab w:val="left" w:pos="1620"/>
      </w:tabs>
      <w:adjustRightInd/>
      <w:snapToGrid/>
      <w:spacing w:line="600" w:lineRule="exact"/>
      <w:jc w:val="both"/>
    </w:pPr>
    <w:rPr>
      <w:rFonts w:ascii="宋体" w:hAnsi="宋体"/>
      <w:bCs w:val="0"/>
      <w:color w:val="FF0000"/>
      <w:kern w:val="2"/>
      <w:szCs w:val="22"/>
    </w:rPr>
  </w:style>
  <w:style w:type="character" w:customStyle="1" w:styleId="55">
    <w:name w:val="样式 楷体_GB2312 小四"/>
    <w:autoRedefine/>
    <w:qFormat/>
    <w:uiPriority w:val="0"/>
    <w:rPr>
      <w:rFonts w:ascii="楷体_GB2312" w:hAnsi="楷体_GB2312" w:eastAsia="仿宋_GB2312"/>
      <w:sz w:val="24"/>
    </w:rPr>
  </w:style>
  <w:style w:type="character" w:customStyle="1" w:styleId="56">
    <w:name w:val="纯文本 Char"/>
    <w:autoRedefine/>
    <w:qFormat/>
    <w:uiPriority w:val="0"/>
    <w:rPr>
      <w:rFonts w:ascii="宋体" w:hAnsi="Courier New" w:eastAsia="宋体" w:cs="Times New Roman"/>
      <w:b/>
      <w:kern w:val="2"/>
      <w:sz w:val="21"/>
      <w:szCs w:val="20"/>
    </w:rPr>
  </w:style>
  <w:style w:type="character" w:customStyle="1" w:styleId="57">
    <w:name w:val="纯文本 字符"/>
    <w:basedOn w:val="34"/>
    <w:link w:val="16"/>
    <w:autoRedefine/>
    <w:semiHidden/>
    <w:qFormat/>
    <w:uiPriority w:val="99"/>
    <w:rPr>
      <w:rFonts w:ascii="宋体" w:hAnsi="Courier New" w:eastAsia="宋体" w:cs="Courier New"/>
      <w:sz w:val="21"/>
      <w:szCs w:val="21"/>
    </w:rPr>
  </w:style>
  <w:style w:type="character" w:customStyle="1" w:styleId="58">
    <w:name w:val="页眉 字符"/>
    <w:basedOn w:val="34"/>
    <w:link w:val="20"/>
    <w:autoRedefine/>
    <w:qFormat/>
    <w:uiPriority w:val="99"/>
    <w:rPr>
      <w:rFonts w:ascii="Tahoma" w:hAnsi="Tahoma"/>
      <w:sz w:val="18"/>
      <w:szCs w:val="18"/>
    </w:rPr>
  </w:style>
  <w:style w:type="character" w:customStyle="1" w:styleId="59">
    <w:name w:val="页脚 字符"/>
    <w:basedOn w:val="34"/>
    <w:link w:val="19"/>
    <w:autoRedefine/>
    <w:qFormat/>
    <w:uiPriority w:val="99"/>
    <w:rPr>
      <w:rFonts w:ascii="Tahoma" w:hAnsi="Tahoma"/>
      <w:sz w:val="18"/>
      <w:szCs w:val="18"/>
    </w:rPr>
  </w:style>
  <w:style w:type="character" w:customStyle="1" w:styleId="60">
    <w:name w:val="批注框文本 字符"/>
    <w:basedOn w:val="34"/>
    <w:link w:val="18"/>
    <w:autoRedefine/>
    <w:semiHidden/>
    <w:qFormat/>
    <w:uiPriority w:val="99"/>
    <w:rPr>
      <w:rFonts w:ascii="Tahoma" w:hAnsi="Tahoma"/>
      <w:sz w:val="18"/>
      <w:szCs w:val="18"/>
    </w:rPr>
  </w:style>
  <w:style w:type="paragraph" w:customStyle="1" w:styleId="61">
    <w:name w:val="Char Char2 Char"/>
    <w:basedOn w:val="1"/>
    <w:autoRedefine/>
    <w:qFormat/>
    <w:uiPriority w:val="0"/>
    <w:pPr>
      <w:widowControl w:val="0"/>
      <w:adjustRightInd/>
      <w:snapToGrid/>
      <w:jc w:val="both"/>
    </w:pPr>
    <w:rPr>
      <w:rFonts w:ascii="宋体" w:hAnsi="宋体" w:cs="Times New Roman"/>
      <w:b/>
      <w:kern w:val="2"/>
      <w:sz w:val="28"/>
      <w:szCs w:val="28"/>
    </w:rPr>
  </w:style>
  <w:style w:type="character" w:customStyle="1" w:styleId="62">
    <w:name w:val="普通(网站) 字符"/>
    <w:link w:val="28"/>
    <w:autoRedefine/>
    <w:qFormat/>
    <w:uiPriority w:val="0"/>
    <w:rPr>
      <w:rFonts w:eastAsia="宋体"/>
      <w:kern w:val="2"/>
      <w:sz w:val="24"/>
      <w:szCs w:val="24"/>
    </w:rPr>
  </w:style>
  <w:style w:type="paragraph" w:customStyle="1" w:styleId="63">
    <w:name w:val="列出段落1"/>
    <w:basedOn w:val="1"/>
    <w:autoRedefine/>
    <w:qFormat/>
    <w:uiPriority w:val="99"/>
    <w:pPr>
      <w:widowControl w:val="0"/>
      <w:adjustRightInd/>
      <w:snapToGrid/>
      <w:ind w:firstLine="420" w:firstLineChars="200"/>
      <w:jc w:val="both"/>
    </w:pPr>
    <w:rPr>
      <w:rFonts w:ascii="Times New Roman" w:hAnsi="Times New Roman" w:cs="Times New Roman"/>
      <w:kern w:val="2"/>
      <w:sz w:val="24"/>
      <w:szCs w:val="24"/>
    </w:rPr>
  </w:style>
  <w:style w:type="character" w:customStyle="1" w:styleId="64">
    <w:name w:val="p141"/>
    <w:autoRedefine/>
    <w:qFormat/>
    <w:uiPriority w:val="0"/>
    <w:rPr>
      <w:sz w:val="21"/>
      <w:szCs w:val="21"/>
    </w:rPr>
  </w:style>
  <w:style w:type="character" w:customStyle="1" w:styleId="65">
    <w:name w:val="批注文字 字符"/>
    <w:basedOn w:val="34"/>
    <w:link w:val="13"/>
    <w:autoRedefine/>
    <w:qFormat/>
    <w:uiPriority w:val="99"/>
    <w:rPr>
      <w:rFonts w:ascii="Tahoma" w:hAnsi="Tahoma" w:eastAsia="微软雅黑" w:cstheme="minorBidi"/>
      <w:sz w:val="22"/>
      <w:szCs w:val="22"/>
    </w:rPr>
  </w:style>
  <w:style w:type="character" w:customStyle="1" w:styleId="66">
    <w:name w:val="批注主题 字符"/>
    <w:basedOn w:val="65"/>
    <w:link w:val="29"/>
    <w:autoRedefine/>
    <w:semiHidden/>
    <w:qFormat/>
    <w:uiPriority w:val="99"/>
    <w:rPr>
      <w:rFonts w:ascii="Tahoma" w:hAnsi="Tahoma" w:eastAsia="微软雅黑" w:cstheme="minorBidi"/>
      <w:b/>
      <w:bCs/>
      <w:sz w:val="22"/>
      <w:szCs w:val="22"/>
    </w:rPr>
  </w:style>
  <w:style w:type="character" w:customStyle="1" w:styleId="67">
    <w:name w:val="列表段落 字符"/>
    <w:link w:val="45"/>
    <w:autoRedefine/>
    <w:qFormat/>
    <w:uiPriority w:val="0"/>
    <w:rPr>
      <w:rFonts w:ascii="Tahoma" w:hAnsi="Tahoma" w:eastAsia="微软雅黑" w:cstheme="minorBidi"/>
      <w:sz w:val="22"/>
      <w:szCs w:val="22"/>
    </w:rPr>
  </w:style>
  <w:style w:type="character" w:customStyle="1" w:styleId="68">
    <w:name w:val="正文文本 字符"/>
    <w:basedOn w:val="34"/>
    <w:link w:val="2"/>
    <w:autoRedefine/>
    <w:qFormat/>
    <w:uiPriority w:val="1"/>
    <w:rPr>
      <w:rFonts w:ascii="宋体" w:hAnsi="宋体" w:cs="宋体"/>
      <w:sz w:val="24"/>
      <w:szCs w:val="22"/>
      <w:lang w:val="zh-CN" w:bidi="zh-CN"/>
    </w:rPr>
  </w:style>
  <w:style w:type="paragraph" w:customStyle="1" w:styleId="6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0">
    <w:name w:val="_Style 1"/>
    <w:basedOn w:val="1"/>
    <w:autoRedefine/>
    <w:qFormat/>
    <w:uiPriority w:val="0"/>
    <w:pPr>
      <w:ind w:firstLine="420" w:firstLineChars="200"/>
    </w:pPr>
  </w:style>
  <w:style w:type="paragraph" w:customStyle="1" w:styleId="71">
    <w:name w:val="列出段落2"/>
    <w:basedOn w:val="1"/>
    <w:autoRedefine/>
    <w:qFormat/>
    <w:uiPriority w:val="0"/>
    <w:pPr>
      <w:ind w:firstLine="420" w:firstLineChars="200"/>
    </w:pPr>
  </w:style>
  <w:style w:type="paragraph" w:customStyle="1" w:styleId="72">
    <w:name w:val="p0"/>
    <w:basedOn w:val="1"/>
    <w:autoRedefine/>
    <w:qFormat/>
    <w:uiPriority w:val="0"/>
    <w:rPr>
      <w:szCs w:val="21"/>
    </w:rPr>
  </w:style>
  <w:style w:type="paragraph" w:customStyle="1" w:styleId="73">
    <w:name w:val="正文文本缩进 21"/>
    <w:basedOn w:val="1"/>
    <w:autoRedefine/>
    <w:qFormat/>
    <w:uiPriority w:val="0"/>
    <w:pPr>
      <w:spacing w:line="480" w:lineRule="auto"/>
      <w:ind w:firstLine="540"/>
    </w:pPr>
    <w:rPr>
      <w:rFonts w:ascii="Calibri" w:hAnsi="Calibri"/>
      <w:sz w:val="20"/>
      <w:szCs w:val="20"/>
    </w:rPr>
  </w:style>
  <w:style w:type="paragraph" w:customStyle="1" w:styleId="74">
    <w:name w:val="_Style 2"/>
    <w:basedOn w:val="1"/>
    <w:autoRedefine/>
    <w:qFormat/>
    <w:uiPriority w:val="0"/>
    <w:pPr>
      <w:ind w:firstLine="420" w:firstLineChars="200"/>
    </w:pPr>
  </w:style>
  <w:style w:type="paragraph" w:customStyle="1" w:styleId="75">
    <w:name w:val="msolistparagraph"/>
    <w:basedOn w:val="1"/>
    <w:autoRedefine/>
    <w:qFormat/>
    <w:uiPriority w:val="0"/>
    <w:pPr>
      <w:ind w:firstLine="420" w:firstLineChars="200"/>
    </w:pPr>
    <w:rPr>
      <w:rFonts w:hint="eastAsia" w:hAnsi="宋体"/>
    </w:rPr>
  </w:style>
  <w:style w:type="character" w:customStyle="1" w:styleId="76">
    <w:name w:val="标题 5 字符"/>
    <w:link w:val="9"/>
    <w:autoRedefine/>
    <w:qFormat/>
    <w:uiPriority w:val="0"/>
    <w:rPr>
      <w:b/>
      <w:sz w:val="28"/>
    </w:rPr>
  </w:style>
  <w:style w:type="character" w:customStyle="1" w:styleId="77">
    <w:name w:val="标题 1 字符"/>
    <w:link w:val="5"/>
    <w:autoRedefine/>
    <w:qFormat/>
    <w:uiPriority w:val="9"/>
    <w:rPr>
      <w:b/>
      <w:kern w:val="44"/>
      <w:sz w:val="44"/>
    </w:rPr>
  </w:style>
  <w:style w:type="paragraph" w:customStyle="1" w:styleId="78">
    <w:name w:val="修订1"/>
    <w:autoRedefine/>
    <w:hidden/>
    <w:semiHidden/>
    <w:qFormat/>
    <w:uiPriority w:val="99"/>
    <w:rPr>
      <w:rFonts w:ascii="Tahoma" w:hAnsi="Tahoma" w:eastAsia="宋体" w:cstheme="minorBidi"/>
      <w:sz w:val="21"/>
      <w:szCs w:val="22"/>
      <w:lang w:val="en-US" w:eastAsia="zh-CN" w:bidi="ar-SA"/>
    </w:rPr>
  </w:style>
  <w:style w:type="paragraph" w:customStyle="1" w:styleId="79">
    <w:name w:val="表格文字"/>
    <w:basedOn w:val="1"/>
    <w:autoRedefine/>
    <w:qFormat/>
    <w:uiPriority w:val="0"/>
    <w:pPr>
      <w:adjustRightInd/>
      <w:spacing w:before="25" w:after="25"/>
    </w:pPr>
    <w:rPr>
      <w:rFonts w:ascii="Times New Roman"/>
      <w:bCs/>
      <w:spacing w:val="10"/>
      <w:szCs w:val="20"/>
    </w:rPr>
  </w:style>
  <w:style w:type="paragraph" w:customStyle="1" w:styleId="80">
    <w:name w:val="纯文本1"/>
    <w:basedOn w:val="81"/>
    <w:autoRedefine/>
    <w:qFormat/>
    <w:uiPriority w:val="0"/>
    <w:rPr>
      <w:rFonts w:ascii="宋体" w:hAnsi="Courier New"/>
      <w:szCs w:val="20"/>
    </w:rPr>
  </w:style>
  <w:style w:type="paragraph" w:customStyle="1" w:styleId="81">
    <w:name w:val="正文 New"/>
    <w:autoRedefine/>
    <w:qFormat/>
    <w:uiPriority w:val="99"/>
    <w:pPr>
      <w:widowControl w:val="0"/>
      <w:spacing w:line="360" w:lineRule="auto"/>
      <w:jc w:val="both"/>
    </w:pPr>
    <w:rPr>
      <w:rFonts w:ascii="Times New Roman" w:hAnsi="Times New Roman" w:eastAsia="宋体" w:cs="黑体"/>
      <w:kern w:val="2"/>
      <w:sz w:val="21"/>
      <w:szCs w:val="22"/>
      <w:lang w:val="en-US" w:eastAsia="zh-CN" w:bidi="ar-SA"/>
    </w:rPr>
  </w:style>
  <w:style w:type="paragraph" w:customStyle="1" w:styleId="82">
    <w:name w:val="正文2"/>
    <w:autoRedefine/>
    <w:qFormat/>
    <w:uiPriority w:val="0"/>
    <w:pPr>
      <w:jc w:val="both"/>
    </w:pPr>
    <w:rPr>
      <w:rFonts w:ascii="Times New Roman" w:hAnsi="Times New Roman" w:eastAsia="宋体" w:cs="Times New Roman"/>
      <w:kern w:val="2"/>
      <w:sz w:val="21"/>
      <w:szCs w:val="21"/>
      <w:lang w:val="en-US" w:eastAsia="zh-CN" w:bidi="ar-SA"/>
    </w:rPr>
  </w:style>
  <w:style w:type="table" w:customStyle="1" w:styleId="83">
    <w:name w:val="Table Normal"/>
    <w:autoRedefine/>
    <w:unhideWhenUsed/>
    <w:qFormat/>
    <w:uiPriority w:val="2"/>
    <w:tblPr>
      <w:tblCellMar>
        <w:top w:w="0" w:type="dxa"/>
        <w:left w:w="0" w:type="dxa"/>
        <w:bottom w:w="0" w:type="dxa"/>
        <w:right w:w="0" w:type="dxa"/>
      </w:tblCellMar>
    </w:tblPr>
  </w:style>
  <w:style w:type="paragraph" w:customStyle="1" w:styleId="84">
    <w:name w:val="Table Paragraph"/>
    <w:basedOn w:val="1"/>
    <w:autoRedefine/>
    <w:qFormat/>
    <w:uiPriority w:val="1"/>
  </w:style>
  <w:style w:type="paragraph" w:customStyle="1" w:styleId="85">
    <w:name w:val="正文文本缩进1"/>
    <w:basedOn w:val="81"/>
    <w:autoRedefine/>
    <w:qFormat/>
    <w:uiPriority w:val="0"/>
    <w:pPr>
      <w:spacing w:after="120"/>
      <w:ind w:left="420" w:leftChars="200"/>
    </w:pPr>
  </w:style>
  <w:style w:type="paragraph" w:customStyle="1" w:styleId="86">
    <w:name w:val="正文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87">
    <w:name w:val="纯文本2"/>
    <w:basedOn w:val="81"/>
    <w:autoRedefine/>
    <w:qFormat/>
    <w:uiPriority w:val="0"/>
    <w:rPr>
      <w:rFonts w:ascii="宋体" w:hAnsi="Courier New"/>
      <w:szCs w:val="20"/>
    </w:rPr>
  </w:style>
  <w:style w:type="character" w:customStyle="1" w:styleId="88">
    <w:name w:val="font141"/>
    <w:autoRedefine/>
    <w:qFormat/>
    <w:uiPriority w:val="0"/>
    <w:rPr>
      <w:rFonts w:hint="default" w:ascii="Times New Roman" w:hAnsi="Times New Roman" w:cs="Times New Roman"/>
      <w:color w:val="000000"/>
      <w:sz w:val="18"/>
      <w:szCs w:val="18"/>
      <w:u w:val="none"/>
    </w:rPr>
  </w:style>
  <w:style w:type="character" w:customStyle="1" w:styleId="89">
    <w:name w:val="font71"/>
    <w:autoRedefine/>
    <w:qFormat/>
    <w:uiPriority w:val="0"/>
    <w:rPr>
      <w:rFonts w:hint="eastAsia" w:ascii="宋体" w:hAnsi="宋体" w:eastAsia="宋体" w:cs="宋体"/>
      <w:color w:val="000000"/>
      <w:sz w:val="18"/>
      <w:szCs w:val="18"/>
      <w:u w:val="none"/>
    </w:rPr>
  </w:style>
  <w:style w:type="character" w:customStyle="1" w:styleId="90">
    <w:name w:val="font21"/>
    <w:basedOn w:val="34"/>
    <w:autoRedefine/>
    <w:qFormat/>
    <w:uiPriority w:val="0"/>
    <w:rPr>
      <w:rFonts w:hint="eastAsia" w:ascii="宋体" w:hAnsi="宋体" w:eastAsia="宋体" w:cs="宋体"/>
      <w:color w:val="000000"/>
      <w:sz w:val="21"/>
      <w:szCs w:val="21"/>
      <w:u w:val="none"/>
    </w:rPr>
  </w:style>
  <w:style w:type="character" w:customStyle="1" w:styleId="91">
    <w:name w:val="font31"/>
    <w:basedOn w:val="34"/>
    <w:autoRedefine/>
    <w:qFormat/>
    <w:uiPriority w:val="0"/>
    <w:rPr>
      <w:rFonts w:hint="eastAsia" w:ascii="宋体" w:hAnsi="宋体" w:eastAsia="宋体" w:cs="宋体"/>
      <w:b/>
      <w:bCs/>
      <w:color w:val="000000"/>
      <w:sz w:val="21"/>
      <w:szCs w:val="21"/>
      <w:u w:val="none"/>
    </w:rPr>
  </w:style>
  <w:style w:type="paragraph" w:customStyle="1" w:styleId="92">
    <w:name w:val="_Style 10"/>
    <w:basedOn w:val="1"/>
    <w:next w:val="45"/>
    <w:autoRedefine/>
    <w:qFormat/>
    <w:uiPriority w:val="34"/>
    <w:pPr>
      <w:ind w:firstLine="420" w:firstLineChars="200"/>
    </w:pPr>
    <w:rPr>
      <w:rFonts w:ascii="Times New Roman"/>
    </w:rPr>
  </w:style>
  <w:style w:type="paragraph" w:customStyle="1" w:styleId="93">
    <w:name w:val="无间隔1"/>
    <w:autoRedefine/>
    <w:qFormat/>
    <w:uiPriority w:val="1"/>
    <w:pPr>
      <w:widowControl w:val="0"/>
      <w:spacing w:line="300" w:lineRule="exact"/>
    </w:pPr>
    <w:rPr>
      <w:rFonts w:ascii="仿宋_GB2312" w:hAnsi="宋体" w:eastAsia="仿宋_GB2312" w:cs="Times New Roman"/>
      <w:color w:val="FF0000"/>
      <w:kern w:val="2"/>
      <w:sz w:val="24"/>
      <w:szCs w:val="24"/>
      <w:lang w:val="en-US" w:eastAsia="zh-CN" w:bidi="ar-SA"/>
    </w:rPr>
  </w:style>
  <w:style w:type="paragraph" w:customStyle="1" w:styleId="94">
    <w:name w:val="样式 标题 3 + (中文) 黑体 小四 非加粗 段前: 7.8 磅 段后: 0 磅 行距: 固定值 20 磅"/>
    <w:basedOn w:val="7"/>
    <w:autoRedefine/>
    <w:qFormat/>
    <w:uiPriority w:val="0"/>
    <w:pPr>
      <w:spacing w:before="0" w:after="0" w:line="400" w:lineRule="exact"/>
    </w:pPr>
    <w:rPr>
      <w:rFonts w:eastAsia="黑体" w:cs="宋体"/>
      <w:sz w:val="24"/>
      <w:szCs w:val="20"/>
    </w:rPr>
  </w:style>
  <w:style w:type="character" w:customStyle="1" w:styleId="95">
    <w:name w:val="font41"/>
    <w:autoRedefine/>
    <w:qFormat/>
    <w:uiPriority w:val="0"/>
    <w:rPr>
      <w:rFonts w:hint="eastAsia" w:ascii="宋体" w:hAnsi="宋体" w:eastAsia="宋体" w:cs="宋体"/>
      <w:color w:val="000000"/>
      <w:sz w:val="20"/>
      <w:szCs w:val="20"/>
      <w:u w:val="none"/>
    </w:rPr>
  </w:style>
  <w:style w:type="table" w:customStyle="1" w:styleId="96">
    <w:name w:val="Grid Table 4 Accent 1"/>
    <w:basedOn w:val="32"/>
    <w:autoRedefine/>
    <w:qFormat/>
    <w:uiPriority w:val="49"/>
    <w:tblPr>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color w:val="FFFFFF" w:themeColor="background1"/>
        <w14:textFill>
          <w14:solidFill>
            <w14:schemeClr w14:val="bg1"/>
          </w14:solidFill>
        </w14:textFill>
      </w:r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insideV w:val="nil"/>
        </w:tcBorders>
        <w:shd w:val="clear" w:color="auto" w:fill="4F81BD" w:themeFill="accent1"/>
      </w:tcPr>
    </w:tblStylePr>
    <w:tblStylePr w:type="lastRow">
      <w:rPr>
        <w:b/>
        <w:bCs/>
      </w:rPr>
      <w:tcPr>
        <w:tcBorders>
          <w:top w:val="double" w:color="4F81BD" w:themeColor="accent1" w:sz="4" w:space="0"/>
        </w:tcBorders>
      </w:tcPr>
    </w:tblStylePr>
    <w:tblStylePr w:type="firstCol">
      <w:rPr>
        <w:b/>
        <w:bCs/>
      </w:rPr>
    </w:tblStylePr>
    <w:tblStylePr w:type="lastCol">
      <w:rPr>
        <w:b/>
        <w:bCs/>
      </w:rPr>
    </w:tblStylePr>
    <w:tblStylePr w:type="band1Vert">
      <w:tcPr>
        <w:shd w:val="clear" w:color="auto" w:fill="DBE5F1" w:themeFill="accent1" w:themeFillTint="33"/>
      </w:tcPr>
    </w:tblStylePr>
    <w:tblStylePr w:type="band1Horz">
      <w:tcPr>
        <w:shd w:val="clear" w:color="auto" w:fill="DBE5F1" w:themeFill="accent1" w:themeFillTint="33"/>
      </w:tcPr>
    </w:tblStylePr>
  </w:style>
  <w:style w:type="paragraph" w:customStyle="1" w:styleId="97">
    <w:name w:val="报告正文"/>
    <w:next w:val="1"/>
    <w:autoRedefine/>
    <w:qFormat/>
    <w:uiPriority w:val="0"/>
    <w:pPr>
      <w:spacing w:line="360" w:lineRule="auto"/>
      <w:ind w:firstLine="200" w:firstLineChars="200"/>
    </w:pPr>
    <w:rPr>
      <w:rFonts w:ascii="Times New Roman" w:hAnsi="Times New Roman" w:eastAsia="宋体" w:cs="Times New Roman"/>
      <w:kern w:val="2"/>
      <w:sz w:val="24"/>
      <w:szCs w:val="24"/>
      <w:lang w:val="en-US" w:eastAsia="zh-CN" w:bidi="ar-SA"/>
    </w:rPr>
  </w:style>
  <w:style w:type="character" w:customStyle="1" w:styleId="98">
    <w:name w:val="fontstyle01"/>
    <w:basedOn w:val="34"/>
    <w:autoRedefine/>
    <w:qFormat/>
    <w:uiPriority w:val="0"/>
    <w:rPr>
      <w:rFonts w:ascii="宋体" w:hAnsi="宋体" w:eastAsia="宋体" w:cs="宋体"/>
      <w:color w:val="000000"/>
      <w:sz w:val="22"/>
      <w:szCs w:val="22"/>
    </w:rPr>
  </w:style>
  <w:style w:type="paragraph" w:customStyle="1" w:styleId="99">
    <w:name w:val="表格"/>
    <w:autoRedefine/>
    <w:qFormat/>
    <w:uiPriority w:val="0"/>
    <w:pPr>
      <w:pBdr>
        <w:top w:val="none" w:color="auto" w:sz="0" w:space="1"/>
        <w:left w:val="none" w:color="auto" w:sz="0" w:space="4"/>
        <w:bottom w:val="none" w:color="auto" w:sz="0" w:space="1"/>
        <w:right w:val="none" w:color="auto" w:sz="0" w:space="4"/>
      </w:pBdr>
      <w:snapToGrid w:val="0"/>
      <w:spacing w:line="240" w:lineRule="auto"/>
      <w:ind w:firstLine="0" w:firstLineChars="0"/>
      <w:jc w:val="center"/>
      <w:textAlignment w:val="center"/>
    </w:pPr>
    <w:rPr>
      <w:rFonts w:ascii="Times New Roman" w:hAnsi="Times New Roman" w:eastAsia="宋体" w:cs="Times New Roman"/>
      <w:sz w:val="21"/>
      <w:szCs w:val="21"/>
    </w:rPr>
  </w:style>
  <w:style w:type="paragraph" w:customStyle="1" w:styleId="100">
    <w:name w:val="备注"/>
    <w:basedOn w:val="1"/>
    <w:autoRedefine/>
    <w:qFormat/>
    <w:uiPriority w:val="0"/>
    <w:pPr>
      <w:spacing w:line="240" w:lineRule="auto"/>
      <w:ind w:firstLine="0" w:firstLineChars="0"/>
    </w:pPr>
    <w:rPr>
      <w:rFonts w:eastAsia="楷体"/>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8"/>
    <customShpInfo spid="_x0000_s4097"/>
    <customShpInfo spid="_x0000_s1026" textRotate="1"/>
    <customShpInfo spid="_x0000_s4100"/>
    <customShpInfo spid="_x0000_s4099"/>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2FDE4B-77BC-4B7C-94B1-DC883D12665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100</Pages>
  <Words>7364</Words>
  <Characters>8096</Characters>
  <Lines>66</Lines>
  <Paragraphs>65</Paragraphs>
  <TotalTime>12</TotalTime>
  <ScaleCrop>false</ScaleCrop>
  <LinksUpToDate>false</LinksUpToDate>
  <CharactersWithSpaces>8314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2022-10-28T09:19:00Z</dcterms:created>
  <dc:creator>MyPC</dc:creator>
  <cp:lastModifiedBy>会飞的猪</cp:lastModifiedBy>
  <cp:lastPrinted>2026-09-20T03:40:00Z</cp:lastPrinted>
  <dcterms:modified xsi:type="dcterms:W3CDTF">2026-10-19T07:10:22Z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4D3D00AC11854B16951265C3129F195E_13</vt:lpwstr>
  </property>
  <property fmtid="{D5CDD505-2E9C-101B-9397-08002B2CF9AE}" pid="4" name="KSOTemplateDocerSaveRecord">
    <vt:lpwstr>eyJoZGlkIjoiZmQ4ZGY0MmJmY2E0NzM2NWZjNTBkNmQxZGI1Y2UzMWQiLCJ1c2VySWQiOiI2MTIxNDExMDYifQ==</vt:lpwstr>
  </property>
</Properties>
</file>