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909DB">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22F89C7D">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东莞市水务集团净水有限公司2025年造价咨询服务采购项目</w:t>
      </w:r>
    </w:p>
    <w:p w14:paraId="075860AA">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125E732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528D07A">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21551820">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2DA5B101">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970ED9B">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2FD9A9D5">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2A839A7">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5E78E920">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号：WTZB2025DG0003</w:t>
      </w:r>
    </w:p>
    <w:p w14:paraId="1C217BB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人：东莞市水务集团净水有限公司</w:t>
      </w:r>
    </w:p>
    <w:p w14:paraId="4BA80E4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7A11F5F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0727404">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71F7225D">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03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13 </w:t>
      </w:r>
      <w:r>
        <w:rPr>
          <w:rFonts w:hint="eastAsia" w:ascii="宋体" w:hAnsi="宋体" w:eastAsia="宋体" w:cs="宋体"/>
          <w:b/>
          <w:bCs/>
          <w:color w:val="auto"/>
          <w:sz w:val="32"/>
          <w:szCs w:val="32"/>
          <w:highlight w:val="none"/>
          <w:lang w:val="zh-CN"/>
        </w:rPr>
        <w:t>日</w:t>
      </w:r>
    </w:p>
    <w:p w14:paraId="2D612D71">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67BF69C2">
      <w:pPr>
        <w:outlineLvl w:val="9"/>
        <w:rPr>
          <w:color w:val="auto"/>
        </w:rPr>
      </w:pPr>
    </w:p>
    <w:sdt>
      <w:sdtPr>
        <w:rPr>
          <w:rFonts w:ascii="宋体" w:hAnsi="宋体" w:eastAsia="宋体" w:cstheme="minorBidi"/>
          <w:color w:val="auto"/>
          <w:kern w:val="2"/>
          <w:sz w:val="21"/>
          <w:szCs w:val="22"/>
          <w:lang w:val="en-US" w:eastAsia="zh-CN" w:bidi="ar-SA"/>
        </w:rPr>
        <w:id w:val="147467259"/>
        <w15:color w:val="DBDBDB"/>
        <w:docPartObj>
          <w:docPartGallery w:val="Table of Contents"/>
          <w:docPartUnique/>
        </w:docPartObj>
      </w:sdtPr>
      <w:sdtEndPr>
        <w:rPr>
          <w:rFonts w:ascii="宋体" w:hAnsi="宋体" w:eastAsia="宋体" w:cstheme="minorBidi"/>
          <w:color w:val="auto"/>
          <w:kern w:val="2"/>
          <w:sz w:val="21"/>
          <w:szCs w:val="22"/>
          <w:lang w:val="en-US" w:eastAsia="zh-CN" w:bidi="ar-SA"/>
        </w:rPr>
      </w:sdtEndPr>
      <w:sdtContent>
        <w:p w14:paraId="62B1453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目</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录</w:t>
          </w:r>
        </w:p>
        <w:p w14:paraId="051BDF3C">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"1-3" \h \u </w:instrText>
          </w:r>
          <w:r>
            <w:rPr>
              <w:rFonts w:hint="eastAsia" w:ascii="宋体" w:hAnsi="宋体" w:eastAsia="宋体" w:cs="宋体"/>
              <w:color w:val="auto"/>
              <w:sz w:val="21"/>
              <w:szCs w:val="21"/>
            </w:rPr>
            <w:fldChar w:fldCharType="separate"/>
          </w: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_Toc6145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_Toc6145 \h </w:instrText>
          </w:r>
          <w:r>
            <w:rPr>
              <w:rFonts w:hint="eastAsia" w:ascii="宋体" w:hAnsi="宋体" w:eastAsia="宋体" w:cs="宋体"/>
              <w:b/>
              <w:bCs/>
              <w:color w:val="auto"/>
            </w:rPr>
            <w:fldChar w:fldCharType="separate"/>
          </w:r>
          <w:r>
            <w:rPr>
              <w:rFonts w:hint="eastAsia" w:ascii="宋体" w:hAnsi="宋体" w:eastAsia="宋体" w:cs="宋体"/>
              <w:b/>
              <w:bCs/>
              <w:color w:val="auto"/>
            </w:rPr>
            <w:t>4</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297CBFBD">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_Toc12298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_Toc12298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0F11AF29">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_Toc30189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_Toc30189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89E0E0A">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_Toc26560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_Toc26560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EF4B945">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_Toc16264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_Toc16264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72F3EE6B">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_Toc2394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_Toc2394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E29FFC4">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_Toc28048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_Toc28048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6A40D57">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_Toc7254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_Toc7254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D737D08">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_Toc23677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_Toc23677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29FAFBC">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_Toc23185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_Toc23185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700CD90">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_Toc30959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_Toc30959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E49DB69">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_Toc6005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_Toc6005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4AD6B0E">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_Toc17584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_Toc17584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3F0F550">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_Toc398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_Toc398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7451C5AA">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_Toc8310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_Toc8310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F1C03B4">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_Toc6566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_Toc6566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A2E5908">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_Toc26894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_Toc26894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799ED85">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_Toc21465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_Toc21465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EAD8A25">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_Toc10912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14 证明服务的合格性并符合招标文件规定的声明文件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_Toc10912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EE64908">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_Toc14918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_Toc14918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A948BE4">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_Toc793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_Toc793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6FE74FA">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_Toc26178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_Toc26178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6BC186E">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_Toc21774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_Toc21774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8A1E6E2">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_Toc3136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_Toc3136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6ED4C76">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_Toc13973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_Toc13973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C1592FA">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_Toc30661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_Toc30661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5B9C494">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_Toc9178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_Toc9178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06263F1">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_Toc28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2794FFC">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_Toc31620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_Toc31620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1B96389">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_Toc945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_Toc945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F94F63B">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_Toc15145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_Toc15145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3175651">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_Toc10041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_Toc10041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E7A488E">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_Toc25685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_Toc25685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D50F9DE">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_Toc16138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_Toc16138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5C406DF">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_Toc30463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_Toc30463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E93C1C1">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_Toc15446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_Toc15446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309F9C5A">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_Toc5209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_Toc5209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85B0DD1">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_Toc1323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_Toc1323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F4C1D17">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_Toc13656 </w:instrText>
          </w:r>
          <w:r>
            <w:rPr>
              <w:rFonts w:hint="eastAsia" w:ascii="宋体" w:hAnsi="宋体" w:eastAsia="宋体" w:cs="宋体"/>
              <w:color w:val="auto"/>
              <w:szCs w:val="21"/>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_Toc13656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786A3648">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_Toc5463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_Toc5463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BB01A30">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_Toc30639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_Toc30639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7D1A8DCC">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_Toc1652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_Toc1652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8094A21">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_Toc25158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_Toc25158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52AF8AF3">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_Toc9247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_Toc9247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A8C1203">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_Toc21906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_Toc21906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2728C1B3">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_Toc14194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_Toc14194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0465455A">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_Toc23961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_Toc23961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4E62B727">
          <w:pPr>
            <w:pStyle w:val="20"/>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_Toc15491 </w:instrText>
          </w:r>
          <w:r>
            <w:rPr>
              <w:rFonts w:hint="eastAsia" w:ascii="宋体" w:hAnsi="宋体" w:eastAsia="宋体" w:cs="宋体"/>
              <w:color w:val="auto"/>
              <w:szCs w:val="21"/>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_Toc15491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14:paraId="64C169F5">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_Toc19860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_Toc19860 \h </w:instrText>
          </w:r>
          <w:r>
            <w:rPr>
              <w:rFonts w:hint="eastAsia" w:ascii="宋体" w:hAnsi="宋体" w:eastAsia="宋体" w:cs="宋体"/>
              <w:b/>
              <w:bCs/>
              <w:color w:val="auto"/>
            </w:rPr>
            <w:fldChar w:fldCharType="separate"/>
          </w:r>
          <w:r>
            <w:rPr>
              <w:rFonts w:hint="eastAsia" w:ascii="宋体" w:hAnsi="宋体" w:eastAsia="宋体" w:cs="宋体"/>
              <w:b/>
              <w:bCs/>
              <w:color w:val="auto"/>
            </w:rPr>
            <w:t>22</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5E5CCBC1">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_Toc27424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_Toc27424 \h </w:instrText>
          </w:r>
          <w:r>
            <w:rPr>
              <w:rFonts w:hint="eastAsia" w:ascii="宋体" w:hAnsi="宋体" w:eastAsia="宋体" w:cs="宋体"/>
              <w:b/>
              <w:bCs/>
              <w:color w:val="auto"/>
            </w:rPr>
            <w:fldChar w:fldCharType="separate"/>
          </w:r>
          <w:r>
            <w:rPr>
              <w:rFonts w:hint="eastAsia" w:ascii="宋体" w:hAnsi="宋体" w:eastAsia="宋体" w:cs="宋体"/>
              <w:b/>
              <w:bCs/>
              <w:color w:val="auto"/>
            </w:rPr>
            <w:t>31</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793F101B">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_Toc20915 </w:instrText>
          </w:r>
          <w:r>
            <w:rPr>
              <w:rFonts w:hint="eastAsia" w:ascii="宋体" w:hAnsi="宋体" w:eastAsia="宋体" w:cs="宋体"/>
              <w:b/>
              <w:bCs/>
              <w:color w:val="auto"/>
              <w:szCs w:val="21"/>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_Toc20915 \h </w:instrText>
          </w:r>
          <w:r>
            <w:rPr>
              <w:rFonts w:hint="eastAsia" w:ascii="宋体" w:hAnsi="宋体" w:eastAsia="宋体" w:cs="宋体"/>
              <w:b/>
              <w:bCs/>
              <w:color w:val="auto"/>
            </w:rPr>
            <w:fldChar w:fldCharType="separate"/>
          </w:r>
          <w:r>
            <w:rPr>
              <w:rFonts w:hint="eastAsia" w:ascii="宋体" w:hAnsi="宋体" w:eastAsia="宋体" w:cs="宋体"/>
              <w:b/>
              <w:bCs/>
              <w:color w:val="auto"/>
            </w:rPr>
            <w:t>48</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07CAB2D9">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_Toc3077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_Toc3077 \h </w:instrText>
          </w:r>
          <w:r>
            <w:rPr>
              <w:rFonts w:hint="eastAsia" w:ascii="宋体" w:hAnsi="宋体" w:eastAsia="宋体" w:cs="宋体"/>
              <w:b/>
              <w:bCs/>
              <w:color w:val="auto"/>
            </w:rPr>
            <w:fldChar w:fldCharType="separate"/>
          </w:r>
          <w:r>
            <w:rPr>
              <w:rFonts w:hint="eastAsia" w:ascii="宋体" w:hAnsi="宋体" w:eastAsia="宋体" w:cs="宋体"/>
              <w:b/>
              <w:bCs/>
              <w:color w:val="auto"/>
            </w:rPr>
            <w:t>51</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5712E7E6">
          <w:pPr>
            <w:pStyle w:val="27"/>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szCs w:val="21"/>
            </w:rPr>
            <w:fldChar w:fldCharType="begin"/>
          </w:r>
          <w:r>
            <w:rPr>
              <w:rFonts w:hint="eastAsia" w:ascii="宋体" w:hAnsi="宋体" w:eastAsia="宋体" w:cs="宋体"/>
              <w:b/>
              <w:bCs/>
              <w:color w:val="auto"/>
              <w:szCs w:val="21"/>
            </w:rPr>
            <w:instrText xml:space="preserve"> HYPERLINK \l _Toc11658 </w:instrText>
          </w:r>
          <w:r>
            <w:rPr>
              <w:rFonts w:hint="eastAsia" w:ascii="宋体" w:hAnsi="宋体" w:eastAsia="宋体" w:cs="宋体"/>
              <w:b/>
              <w:bCs/>
              <w:color w:val="auto"/>
              <w:szCs w:val="21"/>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_Toc11658 \h </w:instrText>
          </w:r>
          <w:r>
            <w:rPr>
              <w:rFonts w:hint="eastAsia" w:ascii="宋体" w:hAnsi="宋体" w:eastAsia="宋体" w:cs="宋体"/>
              <w:b/>
              <w:bCs/>
              <w:color w:val="auto"/>
            </w:rPr>
            <w:fldChar w:fldCharType="separate"/>
          </w:r>
          <w:r>
            <w:rPr>
              <w:rFonts w:hint="eastAsia" w:ascii="宋体" w:hAnsi="宋体" w:eastAsia="宋体" w:cs="宋体"/>
              <w:b/>
              <w:bCs/>
              <w:color w:val="auto"/>
            </w:rPr>
            <w:t>90</w:t>
          </w:r>
          <w:r>
            <w:rPr>
              <w:rFonts w:hint="eastAsia" w:ascii="宋体" w:hAnsi="宋体" w:eastAsia="宋体" w:cs="宋体"/>
              <w:b/>
              <w:bCs/>
              <w:color w:val="auto"/>
            </w:rPr>
            <w:fldChar w:fldCharType="end"/>
          </w:r>
          <w:r>
            <w:rPr>
              <w:rFonts w:hint="eastAsia" w:ascii="宋体" w:hAnsi="宋体" w:eastAsia="宋体" w:cs="宋体"/>
              <w:b/>
              <w:bCs/>
              <w:color w:val="auto"/>
              <w:szCs w:val="21"/>
            </w:rPr>
            <w:fldChar w:fldCharType="end"/>
          </w:r>
        </w:p>
        <w:p w14:paraId="5D773AB4">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color w:val="auto"/>
            </w:rPr>
          </w:pPr>
          <w:r>
            <w:rPr>
              <w:rFonts w:hint="eastAsia" w:ascii="宋体" w:hAnsi="宋体" w:eastAsia="宋体" w:cs="宋体"/>
              <w:color w:val="auto"/>
              <w:szCs w:val="21"/>
            </w:rPr>
            <w:fldChar w:fldCharType="end"/>
          </w:r>
        </w:p>
      </w:sdtContent>
    </w:sdt>
    <w:p w14:paraId="19B80483">
      <w:pPr>
        <w:rPr>
          <w:color w:val="auto"/>
        </w:rPr>
      </w:pPr>
      <w:r>
        <w:rPr>
          <w:color w:val="auto"/>
        </w:rPr>
        <w:br w:type="page"/>
      </w:r>
    </w:p>
    <w:p w14:paraId="4477169C">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6145"/>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26921CE3">
      <w:pPr>
        <w:rPr>
          <w:color w:val="auto"/>
        </w:rPr>
      </w:pPr>
    </w:p>
    <w:p w14:paraId="45D3C3D2">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东莞市水务集团净水有限公司2025年造价咨询服务采购项目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WTZB2025DG0003</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A92D401">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A30324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根据工作需要，现通过采购1家造价咨询单位开展造价相关咨询业务，主要包括</w:t>
      </w:r>
      <w:r>
        <w:rPr>
          <w:rFonts w:hint="eastAsia" w:ascii="宋体" w:hAnsi="宋体" w:eastAsia="宋体" w:cs="宋体"/>
          <w:color w:val="auto"/>
          <w:szCs w:val="21"/>
          <w:highlight w:val="none"/>
          <w:u w:val="single"/>
          <w:lang w:val="en-US" w:eastAsia="zh-CN"/>
        </w:rPr>
        <w:t>招标人</w:t>
      </w:r>
      <w:r>
        <w:rPr>
          <w:rFonts w:hint="eastAsia" w:ascii="宋体" w:hAnsi="宋体" w:eastAsia="宋体" w:cs="宋体"/>
          <w:color w:val="auto"/>
          <w:szCs w:val="21"/>
          <w:highlight w:val="none"/>
          <w:u w:val="single"/>
        </w:rPr>
        <w:t>及</w:t>
      </w:r>
      <w:r>
        <w:rPr>
          <w:rFonts w:hint="eastAsia" w:ascii="宋体" w:hAnsi="宋体" w:eastAsia="宋体" w:cs="宋体"/>
          <w:color w:val="auto"/>
          <w:szCs w:val="21"/>
          <w:highlight w:val="none"/>
          <w:u w:val="single"/>
          <w:lang w:val="en-US" w:eastAsia="zh-CN"/>
        </w:rPr>
        <w:t>其权</w:t>
      </w:r>
      <w:r>
        <w:rPr>
          <w:rFonts w:hint="eastAsia" w:ascii="宋体" w:hAnsi="宋体" w:eastAsia="宋体" w:cs="宋体"/>
          <w:color w:val="auto"/>
          <w:szCs w:val="21"/>
          <w:highlight w:val="none"/>
          <w:u w:val="single"/>
        </w:rPr>
        <w:t>属子公司委托的造价咨询服务项目。</w:t>
      </w:r>
      <w:r>
        <w:rPr>
          <w:rFonts w:hint="eastAsia" w:ascii="宋体" w:hAnsi="宋体" w:eastAsia="宋体" w:cs="Times New Roman"/>
          <w:color w:val="auto"/>
          <w:szCs w:val="21"/>
          <w:highlight w:val="none"/>
          <w:lang w:val="zh-CN"/>
        </w:rPr>
        <w:t>（具体内容详见：第三篇用户需求书）。</w:t>
      </w:r>
    </w:p>
    <w:p w14:paraId="4DA725F8">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F47CB3A">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17390412">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763E7C2C">
      <w:pPr>
        <w:pStyle w:val="158"/>
        <w:spacing w:line="360" w:lineRule="auto"/>
        <w:ind w:left="422" w:leftChars="0" w:right="-29" w:rightChars="-14" w:hanging="422" w:hangingChars="200"/>
        <w:jc w:val="both"/>
        <w:rPr>
          <w:rFonts w:hint="eastAsia" w:hAnsi="宋体" w:eastAsia="宋体" w:cs="宋体"/>
          <w:b/>
          <w:color w:val="auto"/>
          <w:sz w:val="21"/>
          <w:szCs w:val="21"/>
          <w:highlight w:val="none"/>
          <w:lang w:val="en-US" w:eastAsia="zh-CN"/>
        </w:rPr>
      </w:pPr>
      <w:bookmarkStart w:id="2" w:name="_Toc25819"/>
      <w:r>
        <w:rPr>
          <w:rFonts w:hint="eastAsia" w:hAnsi="宋体" w:eastAsia="宋体" w:cs="宋体"/>
          <w:b/>
          <w:color w:val="auto"/>
          <w:sz w:val="21"/>
          <w:szCs w:val="21"/>
          <w:highlight w:val="none"/>
          <w:lang w:val="zh-CN"/>
        </w:rPr>
        <w:t>2.2 投标人</w:t>
      </w:r>
      <w:r>
        <w:rPr>
          <w:rFonts w:hint="eastAsia" w:hAnsi="宋体" w:eastAsia="宋体" w:cs="宋体"/>
          <w:b/>
          <w:color w:val="auto"/>
          <w:sz w:val="21"/>
          <w:szCs w:val="21"/>
          <w:highlight w:val="none"/>
          <w:lang w:val="en-US" w:eastAsia="zh-CN"/>
        </w:rPr>
        <w:t>2022</w:t>
      </w:r>
      <w:r>
        <w:rPr>
          <w:rFonts w:hint="eastAsia" w:hAnsi="宋体" w:eastAsia="宋体" w:cs="宋体"/>
          <w:b/>
          <w:color w:val="auto"/>
          <w:sz w:val="21"/>
          <w:szCs w:val="21"/>
          <w:highlight w:val="none"/>
          <w:lang w:val="zh-CN"/>
        </w:rPr>
        <w:t>年</w:t>
      </w:r>
      <w:r>
        <w:rPr>
          <w:rFonts w:hint="eastAsia" w:hAnsi="宋体" w:eastAsia="宋体" w:cs="宋体"/>
          <w:b/>
          <w:color w:val="auto"/>
          <w:sz w:val="21"/>
          <w:szCs w:val="21"/>
          <w:highlight w:val="none"/>
          <w:lang w:val="en-US" w:eastAsia="zh-CN"/>
        </w:rPr>
        <w:t>1</w:t>
      </w:r>
      <w:r>
        <w:rPr>
          <w:rFonts w:hint="eastAsia" w:hAnsi="宋体" w:eastAsia="宋体" w:cs="宋体"/>
          <w:b/>
          <w:color w:val="auto"/>
          <w:sz w:val="21"/>
          <w:szCs w:val="21"/>
          <w:highlight w:val="none"/>
          <w:lang w:val="zh-CN"/>
        </w:rPr>
        <w:t>月</w:t>
      </w:r>
      <w:r>
        <w:rPr>
          <w:rFonts w:hint="eastAsia" w:hAnsi="宋体" w:eastAsia="宋体" w:cs="宋体"/>
          <w:b/>
          <w:color w:val="auto"/>
          <w:sz w:val="21"/>
          <w:szCs w:val="21"/>
          <w:highlight w:val="none"/>
          <w:lang w:val="en-US" w:eastAsia="zh-CN"/>
        </w:rPr>
        <w:t>1</w:t>
      </w:r>
      <w:r>
        <w:rPr>
          <w:rFonts w:hint="eastAsia" w:hAnsi="宋体" w:eastAsia="宋体" w:cs="宋体"/>
          <w:b/>
          <w:color w:val="auto"/>
          <w:sz w:val="21"/>
          <w:szCs w:val="21"/>
          <w:highlight w:val="none"/>
          <w:lang w:val="zh-CN"/>
        </w:rPr>
        <w:t>日以来具有造价咨询</w:t>
      </w:r>
      <w:r>
        <w:rPr>
          <w:rFonts w:hint="eastAsia" w:ascii="宋体" w:hAnsi="宋体" w:eastAsia="宋体" w:cs="宋体"/>
          <w:b/>
          <w:color w:val="auto"/>
          <w:sz w:val="21"/>
          <w:szCs w:val="21"/>
          <w:highlight w:val="none"/>
          <w:lang w:val="zh-CN"/>
        </w:rPr>
        <w:t>【</w:t>
      </w:r>
      <w:r>
        <w:rPr>
          <w:rFonts w:hint="eastAsia" w:hAnsi="宋体" w:eastAsia="宋体" w:cs="宋体"/>
          <w:b/>
          <w:color w:val="auto"/>
          <w:sz w:val="21"/>
          <w:szCs w:val="21"/>
          <w:highlight w:val="none"/>
          <w:lang w:val="zh-CN"/>
        </w:rPr>
        <w:t>含概算编制、概算审核、预算(或招标控制价)编制、预算(或招标控制价)审核、结算编制和结算审核，以上业绩可包括在同一合同或多份合同内</w:t>
      </w:r>
      <w:r>
        <w:rPr>
          <w:rFonts w:hint="eastAsia" w:ascii="宋体" w:hAnsi="宋体" w:eastAsia="宋体" w:cs="宋体"/>
          <w:b/>
          <w:color w:val="auto"/>
          <w:sz w:val="21"/>
          <w:szCs w:val="21"/>
          <w:highlight w:val="none"/>
          <w:lang w:val="zh-CN"/>
        </w:rPr>
        <w:t>】</w:t>
      </w:r>
      <w:r>
        <w:rPr>
          <w:rFonts w:hint="eastAsia" w:hAnsi="宋体" w:eastAsia="宋体" w:cs="宋体"/>
          <w:b/>
          <w:color w:val="auto"/>
          <w:sz w:val="21"/>
          <w:szCs w:val="21"/>
          <w:highlight w:val="none"/>
          <w:lang w:val="zh-CN"/>
        </w:rPr>
        <w:t>的服务业绩（合同签订日期为</w:t>
      </w:r>
      <w:r>
        <w:rPr>
          <w:rFonts w:hint="eastAsia" w:hAnsi="宋体" w:eastAsia="宋体" w:cs="宋体"/>
          <w:b/>
          <w:color w:val="auto"/>
          <w:sz w:val="21"/>
          <w:szCs w:val="21"/>
          <w:highlight w:val="none"/>
          <w:lang w:val="en-US" w:eastAsia="zh-CN"/>
        </w:rPr>
        <w:t>2022</w:t>
      </w:r>
      <w:r>
        <w:rPr>
          <w:rFonts w:hint="eastAsia" w:hAnsi="宋体" w:eastAsia="宋体" w:cs="宋体"/>
          <w:b/>
          <w:color w:val="auto"/>
          <w:sz w:val="21"/>
          <w:szCs w:val="21"/>
          <w:highlight w:val="none"/>
          <w:lang w:val="zh-CN"/>
        </w:rPr>
        <w:t>年</w:t>
      </w:r>
      <w:r>
        <w:rPr>
          <w:rFonts w:hint="eastAsia" w:hAnsi="宋体" w:eastAsia="宋体" w:cs="宋体"/>
          <w:b/>
          <w:color w:val="auto"/>
          <w:sz w:val="21"/>
          <w:szCs w:val="21"/>
          <w:highlight w:val="none"/>
          <w:lang w:val="en-US" w:eastAsia="zh-CN"/>
        </w:rPr>
        <w:t>1</w:t>
      </w:r>
      <w:r>
        <w:rPr>
          <w:rFonts w:hint="eastAsia" w:hAnsi="宋体" w:eastAsia="宋体" w:cs="宋体"/>
          <w:b/>
          <w:color w:val="auto"/>
          <w:sz w:val="21"/>
          <w:szCs w:val="21"/>
          <w:highlight w:val="none"/>
          <w:lang w:val="zh-CN"/>
        </w:rPr>
        <w:t>月</w:t>
      </w:r>
      <w:r>
        <w:rPr>
          <w:rFonts w:hint="eastAsia" w:hAnsi="宋体" w:eastAsia="宋体" w:cs="宋体"/>
          <w:b/>
          <w:color w:val="auto"/>
          <w:sz w:val="21"/>
          <w:szCs w:val="21"/>
          <w:highlight w:val="none"/>
          <w:lang w:val="en-US" w:eastAsia="zh-CN"/>
        </w:rPr>
        <w:t>1</w:t>
      </w:r>
      <w:r>
        <w:rPr>
          <w:rFonts w:hint="eastAsia" w:hAnsi="宋体" w:eastAsia="宋体" w:cs="宋体"/>
          <w:b/>
          <w:color w:val="auto"/>
          <w:sz w:val="21"/>
          <w:szCs w:val="21"/>
          <w:highlight w:val="none"/>
          <w:lang w:val="zh-CN"/>
        </w:rPr>
        <w:t>日或以后）；</w:t>
      </w:r>
    </w:p>
    <w:p w14:paraId="09150D16">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2"/>
    </w:p>
    <w:p w14:paraId="3BF4784F">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3656DF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55EAE005">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0FEBD7D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4AC0741A">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5DD8BA1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67A45028">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04</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07</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8B47B07">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04</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07</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7EDA30ED">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广东省东莞市南城区第一国际汇一城3号楼1508室开标室</w:t>
      </w:r>
      <w:r>
        <w:rPr>
          <w:rFonts w:hint="eastAsia" w:ascii="宋体" w:hAnsi="宋体" w:eastAsia="宋体" w:cs="Times New Roman"/>
          <w:color w:val="auto"/>
          <w:kern w:val="0"/>
          <w:szCs w:val="21"/>
          <w:highlight w:val="none"/>
        </w:rPr>
        <w:t>。</w:t>
      </w:r>
    </w:p>
    <w:p w14:paraId="66E849FD">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616380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553D1910">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5692C270">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网站（www.wangtat.com.cn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31DE2ABE">
      <w:pPr>
        <w:spacing w:line="360" w:lineRule="auto"/>
        <w:ind w:left="210" w:leftChars="100" w:right="-29" w:rightChars="-14"/>
        <w:rPr>
          <w:rFonts w:ascii="宋体" w:hAnsi="宋体" w:eastAsia="宋体" w:cs="Times New Roman"/>
          <w:color w:val="auto"/>
          <w:szCs w:val="21"/>
          <w:highlight w:val="none"/>
          <w:lang w:val="zh-CN"/>
        </w:rPr>
      </w:pPr>
    </w:p>
    <w:p w14:paraId="2C31BEE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7C697A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14:paraId="3466ECD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ascii="宋体" w:hAnsi="宋体" w:eastAsia="宋体" w:cs="宋体"/>
          <w:color w:val="auto"/>
          <w:kern w:val="0"/>
          <w:szCs w:val="21"/>
        </w:rPr>
        <w:t>东莞市南城街道滨河路100号二期1号楼101室</w:t>
      </w:r>
    </w:p>
    <w:p w14:paraId="345F191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：李嘉馨</w:t>
      </w:r>
    </w:p>
    <w:p w14:paraId="56D0590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14:paraId="6DC04917">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B3B8F7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410ECAF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86167661"/>
      <w:bookmarkStart w:id="4" w:name="_Toc31764_WPSOffice_Level1"/>
      <w:bookmarkStart w:id="5"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5461DC2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2B0D949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邓晓欣</w:t>
      </w:r>
    </w:p>
    <w:p w14:paraId="3E6C064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p w14:paraId="2DBD147D">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8212"/>
      <w:bookmarkStart w:id="7" w:name="_Toc15111"/>
      <w:bookmarkStart w:id="8" w:name="_Toc12298"/>
      <w:bookmarkStart w:id="9" w:name="_Toc31498"/>
      <w:bookmarkStart w:id="10"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bookmarkEnd w:id="10"/>
    </w:p>
    <w:p w14:paraId="7CA421D4">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 w:name="_Toc450662848"/>
      <w:bookmarkStart w:id="12" w:name="_Toc9555"/>
      <w:bookmarkStart w:id="13" w:name="_Toc486167662"/>
      <w:bookmarkStart w:id="14" w:name="_Toc24479"/>
      <w:bookmarkStart w:id="15" w:name="_Toc15366_WPSOffice_Level2"/>
      <w:bookmarkStart w:id="16" w:name="_Toc30189"/>
      <w:bookmarkStart w:id="17" w:name="_Toc11520"/>
      <w:bookmarkStart w:id="18" w:name="_Toc142508312"/>
      <w:bookmarkStart w:id="19" w:name="_Toc140596871"/>
      <w:r>
        <w:rPr>
          <w:rFonts w:hint="eastAsia" w:ascii="宋体" w:hAnsi="宋体" w:eastAsia="宋体" w:cs="宋体"/>
          <w:b/>
          <w:bCs/>
          <w:color w:val="auto"/>
          <w:kern w:val="44"/>
          <w:szCs w:val="21"/>
          <w:highlight w:val="none"/>
          <w:lang w:val="zh-CN"/>
        </w:rPr>
        <w:t>一、总则</w:t>
      </w:r>
      <w:bookmarkEnd w:id="11"/>
      <w:bookmarkEnd w:id="12"/>
      <w:bookmarkEnd w:id="13"/>
      <w:bookmarkEnd w:id="14"/>
      <w:bookmarkEnd w:id="15"/>
      <w:bookmarkEnd w:id="16"/>
      <w:bookmarkEnd w:id="17"/>
      <w:bookmarkEnd w:id="18"/>
      <w:bookmarkEnd w:id="19"/>
    </w:p>
    <w:p w14:paraId="1A8B4E7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 w:name="_Toc21710_WPSOffice_Level3"/>
      <w:bookmarkStart w:id="21" w:name="_Toc23333"/>
      <w:bookmarkStart w:id="22" w:name="_Toc142508313"/>
      <w:bookmarkStart w:id="23" w:name="_Toc16303"/>
      <w:bookmarkStart w:id="24" w:name="_Toc26560"/>
      <w:bookmarkStart w:id="25" w:name="_Toc450662849"/>
      <w:bookmarkStart w:id="26" w:name="_Toc9608"/>
      <w:bookmarkStart w:id="27"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0"/>
      <w:bookmarkEnd w:id="21"/>
      <w:bookmarkEnd w:id="22"/>
      <w:bookmarkEnd w:id="23"/>
      <w:bookmarkEnd w:id="24"/>
      <w:bookmarkEnd w:id="25"/>
      <w:bookmarkEnd w:id="26"/>
      <w:bookmarkEnd w:id="27"/>
    </w:p>
    <w:p w14:paraId="5A87B4CE">
      <w:pPr>
        <w:autoSpaceDE w:val="0"/>
        <w:autoSpaceDN w:val="0"/>
        <w:adjustRightInd w:val="0"/>
        <w:jc w:val="left"/>
        <w:rPr>
          <w:rFonts w:ascii="宋体" w:hAnsi="宋体" w:eastAsia="宋体" w:cs="宋体"/>
          <w:color w:val="auto"/>
          <w:kern w:val="0"/>
          <w:sz w:val="24"/>
          <w:szCs w:val="24"/>
          <w:highlight w:val="none"/>
        </w:rPr>
      </w:pPr>
    </w:p>
    <w:p w14:paraId="7E83B60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80_WPSOffice_Level3"/>
      <w:bookmarkStart w:id="29" w:name="_Toc142508314"/>
      <w:bookmarkStart w:id="30" w:name="_Toc18557"/>
      <w:bookmarkStart w:id="31" w:name="_Toc450662850"/>
      <w:bookmarkStart w:id="32" w:name="_Toc486167664"/>
      <w:bookmarkStart w:id="33" w:name="_Toc28698"/>
      <w:bookmarkStart w:id="34" w:name="_Toc16264"/>
      <w:bookmarkStart w:id="35" w:name="_Toc3224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8"/>
      <w:bookmarkEnd w:id="29"/>
      <w:bookmarkEnd w:id="30"/>
      <w:bookmarkEnd w:id="31"/>
      <w:bookmarkEnd w:id="32"/>
      <w:bookmarkEnd w:id="33"/>
      <w:bookmarkEnd w:id="34"/>
      <w:bookmarkEnd w:id="35"/>
    </w:p>
    <w:p w14:paraId="0170AD29">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1CE49861">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2C8DFEE9">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946380D">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20AF7411">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494C6254">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2E91DDF5">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36" w:name="_Toc23847_WPSOffice_Level3"/>
      <w:bookmarkStart w:id="37" w:name="_Toc142508315"/>
      <w:bookmarkStart w:id="38" w:name="_Toc19774"/>
      <w:bookmarkStart w:id="39" w:name="_Toc11689"/>
      <w:bookmarkStart w:id="40" w:name="_Toc2394"/>
      <w:bookmarkStart w:id="41" w:name="_Toc16100"/>
      <w:bookmarkStart w:id="42" w:name="_Toc486167665"/>
      <w:bookmarkStart w:id="43"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36"/>
      <w:bookmarkEnd w:id="37"/>
      <w:r>
        <w:rPr>
          <w:rFonts w:hint="eastAsia" w:ascii="宋体" w:hAnsi="宋体" w:eastAsia="宋体" w:cs="宋体"/>
          <w:b/>
          <w:color w:val="auto"/>
          <w:szCs w:val="21"/>
          <w:highlight w:val="none"/>
          <w:lang w:val="en-US" w:eastAsia="zh-CN"/>
        </w:rPr>
        <w:t>服务</w:t>
      </w:r>
      <w:bookmarkEnd w:id="38"/>
      <w:bookmarkEnd w:id="39"/>
      <w:bookmarkEnd w:id="40"/>
      <w:bookmarkEnd w:id="41"/>
    </w:p>
    <w:p w14:paraId="646DFB5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437FDDB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4" w:name="_Toc1977663"/>
      <w:bookmarkStart w:id="45" w:name="_Toc533708063"/>
      <w:r>
        <w:rPr>
          <w:rFonts w:hint="eastAsia" w:ascii="宋体" w:hAnsi="宋体" w:eastAsia="宋体" w:cs="宋体"/>
          <w:color w:val="auto"/>
          <w:szCs w:val="21"/>
          <w:highlight w:val="none"/>
          <w:lang w:val="zh-CN"/>
        </w:rPr>
        <w:t xml:space="preserve">3.2  </w:t>
      </w:r>
      <w:bookmarkEnd w:id="44"/>
      <w:bookmarkEnd w:id="45"/>
      <w:bookmarkStart w:id="46" w:name="_Toc1977665"/>
      <w:bookmarkStart w:id="47"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46"/>
      <w:bookmarkEnd w:id="47"/>
    </w:p>
    <w:p w14:paraId="5F28254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1977666"/>
      <w:bookmarkStart w:id="49"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48"/>
      <w:bookmarkEnd w:id="49"/>
      <w:bookmarkStart w:id="50" w:name="_Toc533708067"/>
      <w:bookmarkStart w:id="51" w:name="_Toc19776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0"/>
      <w:bookmarkEnd w:id="51"/>
    </w:p>
    <w:p w14:paraId="6873A74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1977668"/>
      <w:bookmarkStart w:id="53"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2"/>
      <w:bookmarkEnd w:id="5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16002E63">
      <w:pPr>
        <w:autoSpaceDE w:val="0"/>
        <w:autoSpaceDN w:val="0"/>
        <w:adjustRightInd w:val="0"/>
        <w:spacing w:line="360" w:lineRule="auto"/>
        <w:jc w:val="left"/>
        <w:rPr>
          <w:rFonts w:ascii="宋体" w:hAnsi="宋体" w:eastAsia="宋体" w:cs="宋体"/>
          <w:color w:val="auto"/>
          <w:szCs w:val="21"/>
          <w:highlight w:val="none"/>
          <w:lang w:val="zh-CN"/>
        </w:rPr>
      </w:pPr>
    </w:p>
    <w:p w14:paraId="554899E9">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4" w:name="_Toc28048"/>
      <w:bookmarkStart w:id="55" w:name="_Toc142508316"/>
      <w:bookmarkStart w:id="56" w:name="_Toc9658_WPSOffice_Level3"/>
      <w:bookmarkStart w:id="57" w:name="_Toc11533"/>
      <w:bookmarkStart w:id="58" w:name="_Toc9753"/>
      <w:bookmarkStart w:id="59" w:name="_Toc340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4"/>
      <w:bookmarkEnd w:id="55"/>
      <w:bookmarkEnd w:id="56"/>
      <w:bookmarkEnd w:id="57"/>
      <w:bookmarkEnd w:id="58"/>
      <w:bookmarkEnd w:id="59"/>
    </w:p>
    <w:p w14:paraId="18567DF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0"/>
      <w:bookmarkStart w:id="61" w:name="_Toc533708070"/>
      <w:r>
        <w:rPr>
          <w:rFonts w:hint="eastAsia" w:ascii="宋体" w:hAnsi="宋体" w:eastAsia="宋体" w:cs="宋体"/>
          <w:color w:val="auto"/>
          <w:szCs w:val="21"/>
          <w:highlight w:val="none"/>
          <w:lang w:val="zh-CN"/>
        </w:rPr>
        <w:t>4.1  投标费用</w:t>
      </w:r>
      <w:bookmarkEnd w:id="60"/>
      <w:bookmarkEnd w:id="61"/>
    </w:p>
    <w:p w14:paraId="2089846B">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2" w:name="_Toc533708072"/>
      <w:bookmarkStart w:id="63"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2"/>
      <w:bookmarkEnd w:id="63"/>
    </w:p>
    <w:p w14:paraId="766E344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4" w:name="_Toc533708073"/>
      <w:bookmarkStart w:id="65" w:name="_Toc1977673"/>
      <w:r>
        <w:rPr>
          <w:rFonts w:hint="eastAsia" w:ascii="宋体" w:hAnsi="宋体" w:eastAsia="宋体" w:cs="宋体"/>
          <w:color w:val="auto"/>
          <w:szCs w:val="21"/>
          <w:highlight w:val="none"/>
          <w:lang w:val="zh-CN"/>
        </w:rPr>
        <w:t>4.2  踏勘现场</w:t>
      </w:r>
      <w:bookmarkEnd w:id="64"/>
      <w:bookmarkEnd w:id="65"/>
    </w:p>
    <w:p w14:paraId="4C8B2BD6">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6" w:name="_Toc533708076"/>
      <w:bookmarkStart w:id="67"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7A27E105">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4DD50C4C">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422DBA3">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D61668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2"/>
      <w:bookmarkEnd w:id="43"/>
      <w:bookmarkEnd w:id="66"/>
      <w:bookmarkEnd w:id="67"/>
    </w:p>
    <w:p w14:paraId="6AA835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7B6832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0F677D1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EFF845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E738FA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197521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48CF9473">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2D3DE28">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8" w:name="_Toc1565"/>
      <w:bookmarkStart w:id="69" w:name="_Toc23213"/>
      <w:bookmarkStart w:id="70" w:name="_Toc7254"/>
      <w:bookmarkStart w:id="71" w:name="_Toc30507_WPSOffice_Level2"/>
      <w:bookmarkStart w:id="72" w:name="_Toc140596876"/>
      <w:bookmarkStart w:id="73" w:name="_Toc450662853"/>
      <w:bookmarkStart w:id="74" w:name="_Toc486167667"/>
      <w:bookmarkStart w:id="75" w:name="_Toc142508317"/>
      <w:bookmarkStart w:id="76" w:name="_Toc5395"/>
      <w:r>
        <w:rPr>
          <w:rFonts w:hint="eastAsia" w:ascii="宋体" w:hAnsi="宋体" w:eastAsia="宋体" w:cs="宋体"/>
          <w:b/>
          <w:bCs/>
          <w:color w:val="auto"/>
          <w:kern w:val="44"/>
          <w:szCs w:val="21"/>
          <w:highlight w:val="none"/>
          <w:lang w:val="zh-CN"/>
        </w:rPr>
        <w:t>二、招标文件</w:t>
      </w:r>
      <w:bookmarkEnd w:id="68"/>
      <w:bookmarkEnd w:id="69"/>
      <w:bookmarkEnd w:id="70"/>
      <w:bookmarkEnd w:id="71"/>
      <w:bookmarkEnd w:id="72"/>
      <w:bookmarkEnd w:id="73"/>
      <w:bookmarkEnd w:id="74"/>
      <w:bookmarkEnd w:id="75"/>
      <w:bookmarkEnd w:id="76"/>
    </w:p>
    <w:p w14:paraId="502338A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7" w:name="_Toc26635_WPSOffice_Level3"/>
      <w:bookmarkStart w:id="78" w:name="_Toc3978"/>
      <w:bookmarkStart w:id="79" w:name="_Toc486167668"/>
      <w:bookmarkStart w:id="80" w:name="_Toc450662854"/>
      <w:bookmarkStart w:id="81" w:name="_Toc142508318"/>
      <w:bookmarkStart w:id="82" w:name="_Toc23677"/>
      <w:bookmarkStart w:id="83" w:name="_Toc2406"/>
      <w:bookmarkStart w:id="84" w:name="_Toc2889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7"/>
      <w:bookmarkEnd w:id="78"/>
      <w:bookmarkEnd w:id="79"/>
      <w:bookmarkEnd w:id="80"/>
      <w:bookmarkEnd w:id="81"/>
      <w:bookmarkEnd w:id="82"/>
      <w:bookmarkEnd w:id="83"/>
      <w:bookmarkEnd w:id="84"/>
    </w:p>
    <w:p w14:paraId="7D7D1DA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029216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56DABCE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4C41A6C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4FF9A75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0DD3555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5B06F6D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7BD986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3692B8F0">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345ABF32">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DB3C0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14:paraId="49C6DE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7FE2894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东莞市水务集团净水有限公司2025年造价咨询服务采购项目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4A088C6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231D45C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w:t>
      </w:r>
      <w:r>
        <w:rPr>
          <w:rFonts w:hint="eastAsia" w:ascii="宋体" w:hAnsi="宋体" w:eastAsia="宋体" w:cs="Times New Roman"/>
          <w:color w:val="auto"/>
          <w:kern w:val="0"/>
          <w:szCs w:val="21"/>
          <w:highlight w:val="none"/>
          <w:lang w:eastAsia="zh-CN"/>
        </w:rPr>
        <w:t>及</w:t>
      </w:r>
      <w:r>
        <w:rPr>
          <w:rFonts w:hint="eastAsia" w:ascii="宋体" w:hAnsi="宋体" w:eastAsia="宋体" w:cs="Times New Roman"/>
          <w:color w:val="auto"/>
          <w:kern w:val="0"/>
          <w:szCs w:val="21"/>
          <w:highlight w:val="none"/>
        </w:rPr>
        <w:t>招标人权属子公司签订合同的当事人；</w:t>
      </w:r>
    </w:p>
    <w:p w14:paraId="59A22C2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东莞市石鼓净水有限公司、东莞市莞水装备科技有限公司、东莞市清源净水科技有限公司以及东莞市樟村水质净化有限公司；</w:t>
      </w:r>
    </w:p>
    <w:p w14:paraId="49D34E2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33702B2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46665F6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3C60A1E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4F4CA4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4E27202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8CD448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08CA6F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w:t>
      </w:r>
      <w:r>
        <w:rPr>
          <w:rFonts w:hint="eastAsia" w:ascii="宋体" w:hAnsi="宋体" w:eastAsia="宋体" w:cs="Times New Roman"/>
          <w:color w:val="auto"/>
          <w:kern w:val="0"/>
          <w:szCs w:val="21"/>
          <w:highlight w:val="none"/>
          <w:lang w:val="en-US" w:eastAsia="zh-CN"/>
        </w:rPr>
        <w:t>及</w:t>
      </w:r>
      <w:r>
        <w:rPr>
          <w:rFonts w:hint="eastAsia" w:ascii="宋体" w:hAnsi="宋体" w:eastAsia="宋体" w:cs="Times New Roman"/>
          <w:color w:val="auto"/>
          <w:kern w:val="0"/>
          <w:szCs w:val="21"/>
          <w:highlight w:val="none"/>
        </w:rPr>
        <w:t>销项税额</w:t>
      </w:r>
      <w:r>
        <w:rPr>
          <w:rFonts w:hint="eastAsia" w:ascii="宋体" w:hAnsi="宋体" w:eastAsia="宋体" w:cs="Times New Roman"/>
          <w:color w:val="auto"/>
          <w:kern w:val="0"/>
          <w:szCs w:val="21"/>
          <w:highlight w:val="none"/>
          <w:lang w:val="en-US" w:eastAsia="zh-CN"/>
        </w:rPr>
        <w:t>之和</w:t>
      </w:r>
      <w:r>
        <w:rPr>
          <w:rFonts w:hint="eastAsia" w:ascii="宋体" w:hAnsi="宋体" w:eastAsia="宋体" w:cs="Times New Roman"/>
          <w:color w:val="auto"/>
          <w:kern w:val="0"/>
          <w:szCs w:val="21"/>
          <w:highlight w:val="none"/>
        </w:rPr>
        <w:t>。本招标文件所称的含税价是指含本采购项目投标人的销项税额，包含了投标人完成合同义务（含投标人代缴代扣、分包及委外服务、施工、采购货物等所产生的价税）的其他全部费用。</w:t>
      </w:r>
    </w:p>
    <w:p w14:paraId="325BEF2C">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3F599AA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5" w:name="_Toc11346"/>
      <w:bookmarkStart w:id="86" w:name="_Toc1433"/>
      <w:bookmarkStart w:id="87" w:name="_Toc142508319"/>
      <w:bookmarkStart w:id="88" w:name="_Toc3727"/>
      <w:bookmarkStart w:id="89" w:name="_Toc486167669"/>
      <w:bookmarkStart w:id="90" w:name="_Toc23185"/>
      <w:bookmarkStart w:id="91" w:name="_Toc450662855"/>
      <w:bookmarkStart w:id="92"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5"/>
      <w:bookmarkEnd w:id="86"/>
      <w:bookmarkEnd w:id="87"/>
      <w:bookmarkEnd w:id="88"/>
      <w:bookmarkEnd w:id="89"/>
      <w:bookmarkEnd w:id="90"/>
      <w:bookmarkEnd w:id="91"/>
      <w:bookmarkEnd w:id="92"/>
    </w:p>
    <w:p w14:paraId="32792F1F">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6518670">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6FAFA9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30959"/>
      <w:bookmarkStart w:id="94" w:name="_Toc17145"/>
      <w:bookmarkStart w:id="95" w:name="_Toc142508320"/>
      <w:bookmarkStart w:id="96" w:name="_Toc29864"/>
      <w:bookmarkStart w:id="97" w:name="_Toc486167670"/>
      <w:bookmarkStart w:id="98" w:name="_Toc39"/>
      <w:bookmarkStart w:id="99" w:name="_Toc450662856"/>
      <w:bookmarkStart w:id="100"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3"/>
      <w:bookmarkEnd w:id="94"/>
      <w:bookmarkEnd w:id="95"/>
      <w:bookmarkEnd w:id="96"/>
      <w:bookmarkEnd w:id="97"/>
      <w:bookmarkEnd w:id="98"/>
      <w:bookmarkEnd w:id="99"/>
      <w:bookmarkEnd w:id="100"/>
    </w:p>
    <w:p w14:paraId="1C18BA8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1026875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958DE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网站（www.wangtat.com.cn</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2BED287F">
      <w:pPr>
        <w:autoSpaceDE w:val="0"/>
        <w:autoSpaceDN w:val="0"/>
        <w:adjustRightInd w:val="0"/>
        <w:spacing w:line="360" w:lineRule="auto"/>
        <w:ind w:left="357" w:leftChars="-100" w:hanging="567"/>
        <w:rPr>
          <w:rFonts w:ascii="宋体" w:hAnsi="宋体" w:eastAsia="宋体" w:cs="宋体"/>
          <w:color w:val="auto"/>
          <w:szCs w:val="21"/>
          <w:highlight w:val="none"/>
        </w:rPr>
      </w:pPr>
    </w:p>
    <w:p w14:paraId="06B7FF4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1" w:name="_Toc23342"/>
      <w:bookmarkStart w:id="102" w:name="_Toc8711"/>
      <w:bookmarkStart w:id="103" w:name="_Toc29659_WPSOffice_Level2"/>
      <w:bookmarkStart w:id="104" w:name="_Toc142508321"/>
      <w:bookmarkStart w:id="105" w:name="_Toc486167671"/>
      <w:bookmarkStart w:id="106" w:name="_Toc450662857"/>
      <w:bookmarkStart w:id="107" w:name="_Toc140596880"/>
      <w:bookmarkStart w:id="108" w:name="_Toc6005"/>
      <w:bookmarkStart w:id="109" w:name="_Toc27196"/>
      <w:r>
        <w:rPr>
          <w:rFonts w:hint="eastAsia" w:ascii="宋体" w:hAnsi="宋体" w:eastAsia="宋体" w:cs="宋体"/>
          <w:b/>
          <w:bCs/>
          <w:color w:val="auto"/>
          <w:kern w:val="44"/>
          <w:szCs w:val="21"/>
          <w:highlight w:val="none"/>
          <w:lang w:val="zh-CN"/>
        </w:rPr>
        <w:t>三、投标文件的编制</w:t>
      </w:r>
      <w:bookmarkEnd w:id="101"/>
      <w:bookmarkEnd w:id="102"/>
      <w:bookmarkEnd w:id="103"/>
      <w:bookmarkEnd w:id="104"/>
      <w:bookmarkEnd w:id="105"/>
      <w:bookmarkEnd w:id="106"/>
      <w:bookmarkEnd w:id="107"/>
      <w:bookmarkEnd w:id="108"/>
      <w:bookmarkEnd w:id="109"/>
    </w:p>
    <w:p w14:paraId="29B6F798">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0" w:name="_Toc31162"/>
      <w:bookmarkStart w:id="111" w:name="_Toc142508322"/>
      <w:bookmarkStart w:id="112" w:name="_Toc486167672"/>
      <w:bookmarkStart w:id="113" w:name="_Toc450662858"/>
      <w:bookmarkStart w:id="114" w:name="_Toc3827"/>
      <w:bookmarkStart w:id="115" w:name="_Toc6244"/>
      <w:bookmarkStart w:id="116" w:name="_Toc17584"/>
      <w:bookmarkStart w:id="117"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0"/>
      <w:bookmarkEnd w:id="111"/>
      <w:bookmarkEnd w:id="112"/>
      <w:bookmarkEnd w:id="113"/>
      <w:bookmarkEnd w:id="114"/>
      <w:bookmarkEnd w:id="115"/>
      <w:bookmarkEnd w:id="116"/>
      <w:bookmarkEnd w:id="117"/>
    </w:p>
    <w:p w14:paraId="0ADF7A0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1D5B65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B2316DF">
      <w:pPr>
        <w:autoSpaceDE w:val="0"/>
        <w:autoSpaceDN w:val="0"/>
        <w:adjustRightInd w:val="0"/>
        <w:spacing w:line="360" w:lineRule="auto"/>
        <w:rPr>
          <w:rFonts w:ascii="宋体" w:hAnsi="宋体" w:eastAsia="宋体" w:cs="宋体"/>
          <w:color w:val="auto"/>
          <w:szCs w:val="21"/>
          <w:highlight w:val="none"/>
          <w:lang w:val="zh-CN"/>
        </w:rPr>
      </w:pPr>
    </w:p>
    <w:p w14:paraId="7CD33955">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18" w:name="_Toc7348"/>
      <w:bookmarkStart w:id="119" w:name="_Toc24916_WPSOffice_Level3"/>
      <w:bookmarkStart w:id="120" w:name="_Toc14943"/>
      <w:bookmarkStart w:id="121" w:name="_Toc142508323"/>
      <w:bookmarkStart w:id="122" w:name="_Toc486167673"/>
      <w:bookmarkStart w:id="123" w:name="_Toc26462"/>
      <w:bookmarkStart w:id="124" w:name="_Toc398"/>
      <w:bookmarkStart w:id="125"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8"/>
      <w:bookmarkEnd w:id="119"/>
      <w:bookmarkEnd w:id="120"/>
      <w:bookmarkEnd w:id="121"/>
      <w:bookmarkEnd w:id="122"/>
      <w:bookmarkEnd w:id="123"/>
      <w:bookmarkEnd w:id="124"/>
      <w:bookmarkEnd w:id="125"/>
    </w:p>
    <w:p w14:paraId="354AE7CB">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40C35572">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89AECF8">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0CA4D2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ED61DB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B451EF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1A78B21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267E161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191E7C7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A33194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358FA9F4">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56526599">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hAnsi="宋体" w:eastAsia="宋体"/>
          <w:b/>
          <w:color w:val="auto"/>
          <w:sz w:val="21"/>
          <w:szCs w:val="21"/>
          <w:highlight w:val="none"/>
          <w:lang w:val="zh-CN"/>
        </w:rPr>
        <w:t>具有造价咨询</w:t>
      </w:r>
      <w:r>
        <w:rPr>
          <w:rFonts w:hint="eastAsia" w:hAnsi="宋体" w:eastAsia="宋体"/>
          <w:b/>
          <w:color w:val="auto"/>
          <w:szCs w:val="21"/>
          <w:highlight w:val="none"/>
          <w:lang w:val="zh-CN"/>
        </w:rPr>
        <w:t>（含概算编制、概算审核、预算(或招标控制价)编制、预算(或招标控制价)审核、结算编制和结算审核，以上业绩可包括在同一合同或多份合同内）的服务业绩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7A121010">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24E349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48E0151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115175A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3C97055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3A03D8F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2AAB4FAD">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承诺书；</w:t>
      </w:r>
    </w:p>
    <w:p w14:paraId="139FE4C6">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0CFBB360">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723B68D3">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19FF96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13.1</w:t>
      </w:r>
      <w:r>
        <w:rPr>
          <w:rFonts w:hint="eastAsia" w:ascii="宋体" w:hAnsi="宋体" w:eastAsia="宋体" w:cs="宋体"/>
          <w:color w:val="auto"/>
          <w:kern w:val="0"/>
          <w:szCs w:val="21"/>
          <w:highlight w:val="none"/>
        </w:rPr>
        <w:t>用户需求偏离表格式）；</w:t>
      </w:r>
    </w:p>
    <w:p w14:paraId="5417A5B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（2）组织管理及工作流程</w:t>
      </w:r>
      <w:r>
        <w:rPr>
          <w:rFonts w:hint="eastAsia" w:ascii="宋体" w:hAnsi="宋体" w:eastAsia="宋体" w:cs="Times New Roman"/>
          <w:color w:val="auto"/>
          <w:kern w:val="0"/>
          <w:szCs w:val="21"/>
          <w:highlight w:val="none"/>
          <w:lang w:val="zh-CN"/>
        </w:rPr>
        <w:t>；</w:t>
      </w:r>
    </w:p>
    <w:p w14:paraId="3218189D">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（3）进度保障</w:t>
      </w:r>
      <w:r>
        <w:rPr>
          <w:rFonts w:hint="eastAsia" w:ascii="宋体" w:hAnsi="宋体" w:eastAsia="宋体" w:cs="宋体"/>
          <w:color w:val="auto"/>
          <w:kern w:val="0"/>
          <w:szCs w:val="21"/>
          <w:highlight w:val="none"/>
          <w:lang w:eastAsia="zh-CN"/>
        </w:rPr>
        <w:t>；</w:t>
      </w:r>
    </w:p>
    <w:p w14:paraId="009D92E6">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（4）质量跟踪及信息反馈机制</w:t>
      </w:r>
      <w:r>
        <w:rPr>
          <w:rFonts w:hint="eastAsia" w:ascii="宋体" w:hAnsi="宋体" w:eastAsia="宋体" w:cs="宋体"/>
          <w:color w:val="auto"/>
          <w:kern w:val="0"/>
          <w:szCs w:val="21"/>
          <w:highlight w:val="none"/>
          <w:lang w:eastAsia="zh-CN"/>
        </w:rPr>
        <w:t>；</w:t>
      </w:r>
    </w:p>
    <w:p w14:paraId="3BDEA501">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）质量保证措施；</w:t>
      </w:r>
    </w:p>
    <w:p w14:paraId="434CF9BB">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）拟投入服务人员</w:t>
      </w:r>
      <w:r>
        <w:rPr>
          <w:rFonts w:hint="eastAsia" w:ascii="宋体" w:hAnsi="宋体" w:eastAsia="宋体" w:cs="宋体"/>
          <w:color w:val="auto"/>
          <w:kern w:val="0"/>
          <w:sz w:val="21"/>
          <w:szCs w:val="21"/>
          <w:highlight w:val="none"/>
          <w:lang w:val="en-US" w:eastAsia="zh-CN"/>
        </w:rPr>
        <w:t>情况</w:t>
      </w:r>
      <w:r>
        <w:rPr>
          <w:rFonts w:hint="eastAsia" w:ascii="宋体" w:hAnsi="宋体" w:eastAsia="宋体" w:cs="宋体"/>
          <w:color w:val="auto"/>
          <w:kern w:val="0"/>
          <w:szCs w:val="21"/>
          <w:highlight w:val="none"/>
        </w:rPr>
        <w:t>；</w:t>
      </w:r>
    </w:p>
    <w:p w14:paraId="3A6E0682">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）服务便利性</w:t>
      </w:r>
      <w:r>
        <w:rPr>
          <w:rFonts w:hint="eastAsia" w:ascii="宋体" w:hAnsi="宋体" w:eastAsia="宋体" w:cs="宋体"/>
          <w:color w:val="auto"/>
          <w:kern w:val="0"/>
          <w:szCs w:val="21"/>
          <w:highlight w:val="none"/>
          <w:lang w:val="en-US" w:eastAsia="zh-CN"/>
        </w:rPr>
        <w:t>承诺</w:t>
      </w:r>
      <w:r>
        <w:rPr>
          <w:rFonts w:hint="eastAsia" w:ascii="宋体" w:hAnsi="宋体" w:eastAsia="宋体" w:cs="宋体"/>
          <w:color w:val="auto"/>
          <w:kern w:val="0"/>
          <w:szCs w:val="21"/>
          <w:highlight w:val="none"/>
          <w:lang w:eastAsia="zh-CN"/>
        </w:rPr>
        <w:t>；</w:t>
      </w:r>
    </w:p>
    <w:p w14:paraId="6916A7D9">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34EADA14">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57D2D69A">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A329EBC">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777DCC38">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35083D7E">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B792DA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93E766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248787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63D50DE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11170"/>
      <w:bookmarkStart w:id="127" w:name="_Toc8310"/>
      <w:bookmarkStart w:id="128" w:name="_Toc13214"/>
      <w:bookmarkStart w:id="129" w:name="_Toc450662860"/>
      <w:bookmarkStart w:id="130" w:name="_Toc142508324"/>
      <w:bookmarkStart w:id="131" w:name="_Toc486167674"/>
      <w:bookmarkStart w:id="132" w:name="_Toc8675_WPSOffice_Level3"/>
      <w:bookmarkStart w:id="133" w:name="_Toc31771"/>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6"/>
      <w:bookmarkEnd w:id="127"/>
      <w:bookmarkEnd w:id="128"/>
      <w:bookmarkEnd w:id="129"/>
      <w:bookmarkEnd w:id="130"/>
      <w:bookmarkEnd w:id="131"/>
      <w:bookmarkEnd w:id="132"/>
      <w:bookmarkEnd w:id="133"/>
    </w:p>
    <w:p w14:paraId="03BDE7CD">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9013156">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4F3D26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4" w:name="_Toc486167675"/>
      <w:bookmarkStart w:id="135" w:name="_Toc6566"/>
      <w:bookmarkStart w:id="136" w:name="_Toc4385_WPSOffice_Level3"/>
      <w:bookmarkStart w:id="137" w:name="_Toc142508325"/>
      <w:bookmarkStart w:id="138" w:name="_Toc20186"/>
      <w:bookmarkStart w:id="139" w:name="_Toc24311"/>
      <w:bookmarkStart w:id="140" w:name="_Toc15427"/>
      <w:bookmarkStart w:id="141"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4"/>
      <w:bookmarkEnd w:id="135"/>
      <w:bookmarkEnd w:id="136"/>
      <w:bookmarkEnd w:id="137"/>
      <w:bookmarkEnd w:id="138"/>
      <w:bookmarkEnd w:id="139"/>
      <w:bookmarkEnd w:id="140"/>
      <w:bookmarkEnd w:id="141"/>
    </w:p>
    <w:p w14:paraId="78E1D32B">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1AC9AE1A">
      <w:pPr>
        <w:tabs>
          <w:tab w:val="left" w:pos="567"/>
        </w:tabs>
        <w:autoSpaceDE w:val="0"/>
        <w:autoSpaceDN w:val="0"/>
        <w:adjustRightInd w:val="0"/>
        <w:spacing w:line="360" w:lineRule="auto"/>
        <w:ind w:left="216" w:leftChars="103" w:firstLine="422"/>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58760B9">
      <w:pPr>
        <w:tabs>
          <w:tab w:val="left" w:pos="567"/>
        </w:tabs>
        <w:autoSpaceDE w:val="0"/>
        <w:autoSpaceDN w:val="0"/>
        <w:adjustRightInd w:val="0"/>
        <w:spacing w:line="360" w:lineRule="auto"/>
        <w:ind w:left="216" w:leftChars="103" w:firstLine="422"/>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zh-CN"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16E4164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本项目的投标报价采用统一折扣系数报价。</w:t>
      </w:r>
      <w:r>
        <w:rPr>
          <w:rFonts w:hint="eastAsia" w:ascii="宋体" w:hAnsi="宋体" w:eastAsia="宋体" w:cs="Times New Roman"/>
          <w:b/>
          <w:color w:val="auto"/>
          <w:szCs w:val="21"/>
          <w:highlight w:val="none"/>
          <w:u w:val="single"/>
        </w:rPr>
        <w:t>合同履约过程中，</w:t>
      </w:r>
      <w:r>
        <w:rPr>
          <w:rFonts w:hint="eastAsia" w:ascii="宋体" w:hAnsi="宋体" w:eastAsia="宋体" w:cs="Times New Roman"/>
          <w:b/>
          <w:color w:val="auto"/>
          <w:szCs w:val="21"/>
          <w:highlight w:val="none"/>
          <w:u w:val="single"/>
          <w:lang w:val="en-US" w:eastAsia="zh-CN"/>
        </w:rPr>
        <w:t>根据招标人</w:t>
      </w:r>
      <w:r>
        <w:rPr>
          <w:rFonts w:hint="eastAsia" w:ascii="宋体" w:hAnsi="宋体" w:eastAsia="宋体" w:cs="Times New Roman"/>
          <w:b/>
          <w:color w:val="auto"/>
          <w:szCs w:val="21"/>
          <w:highlight w:val="none"/>
          <w:u w:val="single"/>
        </w:rPr>
        <w:t>及招标人的权属子公司</w:t>
      </w:r>
      <w:r>
        <w:rPr>
          <w:rFonts w:hint="eastAsia" w:ascii="宋体" w:hAnsi="宋体" w:eastAsia="宋体" w:cs="Times New Roman"/>
          <w:b/>
          <w:color w:val="auto"/>
          <w:szCs w:val="21"/>
          <w:highlight w:val="none"/>
          <w:u w:val="single"/>
          <w:lang w:val="en-US" w:eastAsia="zh-CN"/>
        </w:rPr>
        <w:t>的委托单开展单项</w:t>
      </w:r>
      <w:r>
        <w:rPr>
          <w:rFonts w:hint="eastAsia" w:ascii="宋体" w:hAnsi="宋体" w:eastAsia="宋体" w:cs="Times New Roman"/>
          <w:b/>
          <w:color w:val="auto"/>
          <w:szCs w:val="21"/>
          <w:highlight w:val="none"/>
          <w:u w:val="single"/>
        </w:rPr>
        <w:t>造价咨询服务</w:t>
      </w:r>
      <w:r>
        <w:rPr>
          <w:rFonts w:hint="eastAsia" w:ascii="宋体" w:hAnsi="宋体" w:eastAsia="宋体" w:cs="Times New Roman"/>
          <w:b/>
          <w:color w:val="auto"/>
          <w:szCs w:val="21"/>
          <w:highlight w:val="none"/>
          <w:u w:val="single"/>
          <w:lang w:eastAsia="zh-CN"/>
        </w:rPr>
        <w:t>。</w:t>
      </w:r>
      <w:r>
        <w:rPr>
          <w:rFonts w:hint="eastAsia" w:ascii="宋体" w:hAnsi="宋体" w:eastAsia="宋体" w:cs="Times New Roman"/>
          <w:b/>
          <w:color w:val="auto"/>
          <w:szCs w:val="21"/>
          <w:highlight w:val="none"/>
          <w:u w:val="single"/>
        </w:rPr>
        <w:t>单项造价咨询服务费参照《广东省物价局关于调整我省建设工程造价咨询服务收费的复函》(粤价函〔2011〕742号)中收费项目对应的收费标准，再乘以服务折扣系数，单项造价咨询服务不设最低收费</w:t>
      </w:r>
      <w:r>
        <w:rPr>
          <w:rFonts w:hint="eastAsia" w:ascii="宋体" w:hAnsi="宋体" w:eastAsia="宋体" w:cs="Times New Roman"/>
          <w:b/>
          <w:color w:val="auto"/>
          <w:szCs w:val="21"/>
          <w:highlight w:val="none"/>
          <w:u w:val="single"/>
          <w:lang w:eastAsia="zh-CN"/>
        </w:rPr>
        <w:t>，</w:t>
      </w:r>
      <w:r>
        <w:rPr>
          <w:rFonts w:hint="eastAsia" w:ascii="宋体" w:hAnsi="宋体" w:eastAsia="宋体" w:cs="Times New Roman"/>
          <w:b/>
          <w:color w:val="auto"/>
          <w:szCs w:val="21"/>
          <w:highlight w:val="none"/>
          <w:u w:val="single"/>
        </w:rPr>
        <w:t>详细计费规则</w:t>
      </w:r>
      <w:r>
        <w:rPr>
          <w:rFonts w:hint="eastAsia" w:ascii="宋体" w:hAnsi="宋体" w:eastAsia="宋体" w:cs="Times New Roman"/>
          <w:b/>
          <w:color w:val="auto"/>
          <w:szCs w:val="21"/>
          <w:highlight w:val="none"/>
          <w:u w:val="single"/>
          <w:lang w:val="en-US" w:eastAsia="zh-CN"/>
        </w:rPr>
        <w:t>详见第三篇用户需求书第三条第3.1款</w:t>
      </w:r>
      <w:r>
        <w:rPr>
          <w:rFonts w:hint="eastAsia" w:ascii="宋体" w:hAnsi="宋体" w:eastAsia="宋体" w:cs="Times New Roman"/>
          <w:b/>
          <w:color w:val="auto"/>
          <w:szCs w:val="21"/>
          <w:highlight w:val="none"/>
          <w:u w:val="single"/>
        </w:rPr>
        <w:t>。</w:t>
      </w:r>
      <w:r>
        <w:rPr>
          <w:rFonts w:hint="eastAsia" w:ascii="宋体" w:hAnsi="宋体" w:eastAsia="宋体" w:cs="Times New Roman"/>
          <w:b/>
          <w:color w:val="auto"/>
          <w:szCs w:val="21"/>
          <w:highlight w:val="none"/>
          <w:u w:val="single"/>
          <w:lang w:val="en-US" w:eastAsia="zh-CN"/>
        </w:rPr>
        <w:t>本项目的</w:t>
      </w:r>
      <w:r>
        <w:rPr>
          <w:rFonts w:hint="eastAsia" w:ascii="宋体" w:hAnsi="宋体" w:eastAsia="宋体" w:cs="Times New Roman"/>
          <w:b/>
          <w:color w:val="auto"/>
          <w:szCs w:val="21"/>
          <w:highlight w:val="none"/>
          <w:u w:val="single"/>
          <w:lang w:val="zh-CN"/>
        </w:rPr>
        <w:t>投标报价为含税价，即为《中华人民共和国增值税暂行条例》（国务院令第6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号修订版）规定的销售额及销项税额之和</w:t>
      </w:r>
      <w:r>
        <w:rPr>
          <w:rFonts w:hint="eastAsia" w:ascii="宋体" w:hAnsi="宋体" w:eastAsia="宋体" w:cs="Times New Roman"/>
          <w:color w:val="auto"/>
          <w:szCs w:val="21"/>
          <w:highlight w:val="none"/>
          <w:lang w:val="zh-CN"/>
        </w:rPr>
        <w:t>。本招标文件所称的含税价是指含本采购项目投标人的销项税额，包含了投标人完成合同义务（含投标人代缴代扣、分包及委外服务、</w:t>
      </w:r>
      <w:r>
        <w:rPr>
          <w:rFonts w:hint="eastAsia" w:ascii="宋体" w:hAnsi="宋体" w:eastAsia="宋体" w:cs="Times New Roman"/>
          <w:color w:val="auto"/>
          <w:szCs w:val="21"/>
          <w:highlight w:val="none"/>
          <w:lang w:val="en-US" w:eastAsia="zh-CN"/>
        </w:rPr>
        <w:t>施工</w:t>
      </w:r>
      <w:r>
        <w:rPr>
          <w:rFonts w:hint="eastAsia" w:ascii="宋体" w:hAnsi="宋体" w:eastAsia="宋体" w:cs="Times New Roman"/>
          <w:color w:val="auto"/>
          <w:szCs w:val="21"/>
          <w:highlight w:val="none"/>
          <w:lang w:val="zh-CN"/>
        </w:rPr>
        <w:t>、采购货物等所产生的价税）的其他全部费用。</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78DA6F5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人员人工费(工资及加班工资、福利、社保、住房公积金、节日补贴、高温津贴、劳保、服装和膳食、意外伤害保险、加班费、住宿补贴、市内交通补贴、培训、经济补偿等)、驻场服务所需的差旅费、食宿费、交通费、通讯费、配合费、办理履约担保所需等费用；</w:t>
      </w:r>
    </w:p>
    <w:p w14:paraId="720C101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（2）合理利润、税费等；</w:t>
      </w:r>
    </w:p>
    <w:p w14:paraId="01386E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（3）法律法规、行业公认、完成合同实施过程中由投标人承担的其他直接及间接费用。</w:t>
      </w:r>
    </w:p>
    <w:p w14:paraId="057300F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2CE97CEA">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498F8EC">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4F58576C">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投标人的折扣系数报价不得超过0.80，且不能为0.00或负数，投标人未按招标文件要求进行折扣系数报价的，</w:t>
      </w:r>
      <w:r>
        <w:rPr>
          <w:rFonts w:hint="eastAsia" w:ascii="宋体" w:hAnsi="宋体" w:eastAsia="宋体" w:cs="宋体"/>
          <w:b/>
          <w:color w:val="auto"/>
          <w:szCs w:val="21"/>
          <w:highlight w:val="none"/>
          <w:u w:val="single"/>
          <w:lang w:val="zh-CN"/>
        </w:rPr>
        <w:t>该投标人的投标文件将被视为无效投标。折扣系数报价需保留小数点后两位，否则评标委员会按去“尾”或补“零”的方式进行修正为保留小数点后两位，投标人须接受被修正后的报价（例：如投标折扣系数为0.789，则被修正为0.78；如投标折扣系数为0.7，则被修正为0.70）。本项目的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¥765,942.79</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柒拾陆万伍仟玖佰肆拾</w:t>
      </w:r>
      <w:bookmarkStart w:id="778" w:name="_GoBack"/>
      <w:bookmarkEnd w:id="778"/>
      <w:r>
        <w:rPr>
          <w:rFonts w:hint="eastAsia" w:ascii="宋体" w:hAnsi="宋体" w:eastAsia="宋体" w:cs="宋体"/>
          <w:b/>
          <w:color w:val="auto"/>
          <w:szCs w:val="21"/>
          <w:highlight w:val="none"/>
          <w:u w:val="single"/>
          <w:lang w:val="en-US" w:eastAsia="zh-CN"/>
        </w:rPr>
        <w:t>贰元柒角玖分</w:t>
      </w:r>
      <w:r>
        <w:rPr>
          <w:rFonts w:hint="eastAsia" w:ascii="宋体" w:hAnsi="宋体" w:eastAsia="宋体" w:cs="宋体"/>
          <w:b/>
          <w:color w:val="auto"/>
          <w:szCs w:val="21"/>
          <w:highlight w:val="none"/>
          <w:u w:val="single"/>
          <w:lang w:val="zh-CN"/>
        </w:rPr>
        <w:t>）。</w:t>
      </w:r>
    </w:p>
    <w:p w14:paraId="54D98A50">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EE87895">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42" w:name="_Toc450662862"/>
      <w:bookmarkStart w:id="143" w:name="_Toc30042_WPSOffice_Level3"/>
      <w:bookmarkStart w:id="144" w:name="_Toc20312"/>
      <w:bookmarkStart w:id="145" w:name="_Toc486167676"/>
      <w:bookmarkStart w:id="146" w:name="_Toc142508326"/>
      <w:bookmarkStart w:id="147" w:name="_Toc8937"/>
      <w:bookmarkStart w:id="148" w:name="_Toc26894"/>
      <w:bookmarkStart w:id="149" w:name="_Toc3469"/>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2"/>
      <w:bookmarkEnd w:id="143"/>
      <w:bookmarkEnd w:id="144"/>
      <w:bookmarkEnd w:id="145"/>
      <w:bookmarkEnd w:id="146"/>
      <w:bookmarkEnd w:id="147"/>
      <w:bookmarkEnd w:id="148"/>
      <w:bookmarkEnd w:id="149"/>
    </w:p>
    <w:p w14:paraId="05D59A6D">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5372DB5">
      <w:pPr>
        <w:autoSpaceDE w:val="0"/>
        <w:autoSpaceDN w:val="0"/>
        <w:adjustRightInd w:val="0"/>
        <w:spacing w:line="360" w:lineRule="auto"/>
        <w:ind w:left="265" w:leftChars="119" w:hanging="15"/>
        <w:rPr>
          <w:rFonts w:ascii="宋体" w:hAnsi="宋体" w:eastAsia="宋体" w:cs="宋体"/>
          <w:color w:val="auto"/>
          <w:szCs w:val="21"/>
          <w:highlight w:val="none"/>
        </w:rPr>
      </w:pPr>
    </w:p>
    <w:p w14:paraId="23382CE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20031"/>
      <w:bookmarkStart w:id="151" w:name="_Toc3961"/>
      <w:bookmarkStart w:id="152" w:name="_Toc1091"/>
      <w:bookmarkStart w:id="153" w:name="_Toc486167677"/>
      <w:bookmarkStart w:id="154" w:name="_Toc450662863"/>
      <w:bookmarkStart w:id="155" w:name="_Toc21465"/>
      <w:bookmarkStart w:id="156" w:name="_Toc142508327"/>
      <w:bookmarkStart w:id="157"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0"/>
      <w:bookmarkEnd w:id="151"/>
      <w:bookmarkEnd w:id="152"/>
      <w:bookmarkEnd w:id="153"/>
      <w:bookmarkEnd w:id="154"/>
      <w:bookmarkEnd w:id="155"/>
      <w:bookmarkEnd w:id="156"/>
      <w:bookmarkEnd w:id="157"/>
    </w:p>
    <w:p w14:paraId="28700DA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410834D">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5BB838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9C39F8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60365C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3C01F38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9701412">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3CC7C34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8" w:name="_Toc450662864"/>
      <w:bookmarkStart w:id="159" w:name="_Toc8615"/>
      <w:bookmarkStart w:id="160" w:name="_Toc142508328"/>
      <w:bookmarkStart w:id="161" w:name="_Toc27771_WPSOffice_Level3"/>
      <w:bookmarkStart w:id="162" w:name="_Toc486167678"/>
      <w:bookmarkStart w:id="163" w:name="_Toc10912"/>
      <w:bookmarkStart w:id="164" w:name="_Toc16467"/>
      <w:bookmarkStart w:id="165" w:name="_Toc297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58"/>
      <w:bookmarkEnd w:id="159"/>
      <w:bookmarkEnd w:id="160"/>
      <w:bookmarkEnd w:id="161"/>
      <w:bookmarkEnd w:id="162"/>
      <w:bookmarkEnd w:id="163"/>
      <w:bookmarkEnd w:id="164"/>
      <w:bookmarkEnd w:id="165"/>
    </w:p>
    <w:p w14:paraId="2D44C1B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6B96162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2E083966">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4B11DC75">
      <w:pPr>
        <w:autoSpaceDE w:val="0"/>
        <w:autoSpaceDN w:val="0"/>
        <w:adjustRightInd w:val="0"/>
        <w:spacing w:line="360" w:lineRule="auto"/>
        <w:rPr>
          <w:rFonts w:ascii="宋体" w:hAnsi="宋体" w:eastAsia="宋体" w:cs="Times New Roman"/>
          <w:color w:val="auto"/>
          <w:kern w:val="0"/>
          <w:sz w:val="24"/>
          <w:szCs w:val="24"/>
          <w:highlight w:val="none"/>
        </w:rPr>
      </w:pPr>
    </w:p>
    <w:p w14:paraId="4885167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6" w:name="_Toc5356_WPSOffice_Level3"/>
      <w:bookmarkStart w:id="167" w:name="_Toc16828"/>
      <w:bookmarkStart w:id="168" w:name="_Toc14918"/>
      <w:bookmarkStart w:id="169" w:name="_Toc142508329"/>
      <w:bookmarkStart w:id="170" w:name="_Toc30555"/>
      <w:bookmarkStart w:id="171" w:name="_Toc8644"/>
      <w:bookmarkStart w:id="172"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66"/>
      <w:bookmarkEnd w:id="167"/>
      <w:bookmarkEnd w:id="168"/>
      <w:bookmarkEnd w:id="169"/>
      <w:bookmarkEnd w:id="170"/>
      <w:bookmarkEnd w:id="171"/>
      <w:bookmarkEnd w:id="172"/>
    </w:p>
    <w:p w14:paraId="5289F1AD">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¥15,000.00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壹万伍仟元整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34007B4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FD66930">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533C3A80">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60AE1BB6">
      <w:pPr>
        <w:autoSpaceDE w:val="0"/>
        <w:autoSpaceDN w:val="0"/>
        <w:adjustRightInd w:val="0"/>
        <w:spacing w:line="360" w:lineRule="auto"/>
        <w:ind w:left="0" w:leftChars="0" w:firstLine="420" w:firstLineChars="200"/>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b/>
          <w:bCs/>
          <w:color w:val="auto"/>
          <w:kern w:val="0"/>
          <w:szCs w:val="21"/>
          <w:highlight w:val="none"/>
          <w:lang w:val="zh-CN"/>
        </w:rPr>
        <w:t>东莞市水务集团净水有限公司</w:t>
      </w:r>
    </w:p>
    <w:p w14:paraId="307E9E34">
      <w:pPr>
        <w:autoSpaceDE w:val="0"/>
        <w:autoSpaceDN w:val="0"/>
        <w:adjustRightInd w:val="0"/>
        <w:spacing w:line="360" w:lineRule="auto"/>
        <w:ind w:left="0" w:leftChars="0" w:firstLine="420" w:firstLineChars="20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Times New Roman"/>
          <w:b/>
          <w:bCs/>
          <w:color w:val="auto"/>
          <w:kern w:val="0"/>
          <w:szCs w:val="21"/>
          <w:highlight w:val="none"/>
          <w:lang w:val="zh-CN"/>
        </w:rPr>
        <w:t>东莞银行股份有限公司东莞分行营业部</w:t>
      </w:r>
    </w:p>
    <w:p w14:paraId="040422E0">
      <w:pPr>
        <w:autoSpaceDE w:val="0"/>
        <w:autoSpaceDN w:val="0"/>
        <w:adjustRightInd w:val="0"/>
        <w:spacing w:line="360" w:lineRule="auto"/>
        <w:ind w:left="0" w:leftChars="0" w:firstLine="420" w:firstLineChars="200"/>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b/>
          <w:bCs/>
          <w:color w:val="auto"/>
          <w:kern w:val="0"/>
          <w:szCs w:val="21"/>
          <w:highlight w:val="none"/>
          <w:lang w:val="zh-CN"/>
        </w:rPr>
        <w:t>540008801002628</w:t>
      </w:r>
    </w:p>
    <w:p w14:paraId="731A7BBD">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37A24DE">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3207854B">
      <w:pPr>
        <w:spacing w:line="360" w:lineRule="auto"/>
        <w:ind w:left="409" w:leftChars="195" w:firstLine="11" w:firstLineChars="5"/>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为更快捷将投标保证金关联到本项目，投标人应在转账时注明招标编号，否则因此导致的无法识别投标保证金对应项目等不利后果将由投标人承担。</w:t>
      </w:r>
    </w:p>
    <w:p w14:paraId="347A7944">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0069038B">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3DA8328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23C94B8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1402F855">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A5E8990">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380118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07FBC13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4C42090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1BD9145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7024EE0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5C4341DA">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8B99C3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3" w:name="_Toc29607"/>
      <w:bookmarkStart w:id="174" w:name="_Toc22649_WPSOffice_Level3"/>
      <w:bookmarkStart w:id="175" w:name="_Toc142508330"/>
      <w:bookmarkStart w:id="176" w:name="_Toc486167680"/>
      <w:bookmarkStart w:id="177" w:name="_Toc793"/>
      <w:bookmarkStart w:id="178" w:name="_Toc450662865"/>
      <w:bookmarkStart w:id="179" w:name="_Toc1458"/>
      <w:bookmarkStart w:id="180" w:name="_Toc23267"/>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73"/>
      <w:bookmarkEnd w:id="174"/>
      <w:bookmarkEnd w:id="175"/>
      <w:bookmarkEnd w:id="176"/>
      <w:bookmarkEnd w:id="177"/>
      <w:bookmarkEnd w:id="178"/>
      <w:bookmarkEnd w:id="179"/>
      <w:bookmarkEnd w:id="180"/>
    </w:p>
    <w:p w14:paraId="6F20EBF6">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060F40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669F568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CD3C941">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FC2AAD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1" w:name="_Toc20422"/>
      <w:bookmarkStart w:id="182" w:name="_Toc26178"/>
      <w:bookmarkStart w:id="183" w:name="_Toc25637_WPSOffice_Level3"/>
      <w:bookmarkStart w:id="184" w:name="_Toc486167681"/>
      <w:bookmarkStart w:id="185" w:name="_Toc15544"/>
      <w:bookmarkStart w:id="186" w:name="_Toc142508331"/>
      <w:bookmarkStart w:id="187" w:name="_Toc450662866"/>
      <w:bookmarkStart w:id="188" w:name="_Toc93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81"/>
      <w:bookmarkEnd w:id="182"/>
      <w:bookmarkEnd w:id="183"/>
      <w:bookmarkEnd w:id="184"/>
      <w:bookmarkEnd w:id="185"/>
      <w:bookmarkEnd w:id="186"/>
      <w:bookmarkEnd w:id="187"/>
      <w:bookmarkEnd w:id="188"/>
    </w:p>
    <w:p w14:paraId="2794486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FE314B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1238A6C">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107D8E95">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ABF0A2D">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610604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0E61DDCE">
      <w:pPr>
        <w:autoSpaceDE w:val="0"/>
        <w:autoSpaceDN w:val="0"/>
        <w:adjustRightInd w:val="0"/>
        <w:jc w:val="left"/>
        <w:rPr>
          <w:rFonts w:ascii="宋体" w:hAnsi="宋体" w:eastAsia="宋体" w:cs="宋体"/>
          <w:color w:val="auto"/>
          <w:kern w:val="0"/>
          <w:sz w:val="24"/>
          <w:szCs w:val="24"/>
          <w:highlight w:val="none"/>
        </w:rPr>
      </w:pPr>
      <w:bookmarkStart w:id="189" w:name="_Toc450662867"/>
    </w:p>
    <w:p w14:paraId="0AEAA02C">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90" w:name="_Toc486167682"/>
      <w:bookmarkStart w:id="191" w:name="_Toc22356_WPSOffice_Level2"/>
      <w:bookmarkStart w:id="192" w:name="_Toc17199"/>
      <w:bookmarkStart w:id="193" w:name="_Toc16145"/>
      <w:bookmarkStart w:id="194" w:name="_Toc26605"/>
      <w:bookmarkStart w:id="195" w:name="_Toc21774"/>
      <w:bookmarkStart w:id="196" w:name="_Toc140596891"/>
      <w:bookmarkStart w:id="197" w:name="_Toc142508332"/>
      <w:r>
        <w:rPr>
          <w:rFonts w:hint="eastAsia" w:ascii="宋体" w:hAnsi="宋体" w:eastAsia="宋体" w:cs="宋体"/>
          <w:b/>
          <w:bCs/>
          <w:color w:val="auto"/>
          <w:kern w:val="44"/>
          <w:szCs w:val="21"/>
          <w:highlight w:val="none"/>
          <w:lang w:val="zh-CN"/>
        </w:rPr>
        <w:t>四、投标文件的递交</w:t>
      </w:r>
      <w:bookmarkEnd w:id="189"/>
      <w:bookmarkEnd w:id="190"/>
      <w:bookmarkEnd w:id="191"/>
      <w:bookmarkEnd w:id="192"/>
      <w:bookmarkEnd w:id="193"/>
      <w:bookmarkEnd w:id="194"/>
      <w:bookmarkEnd w:id="195"/>
      <w:bookmarkEnd w:id="196"/>
      <w:bookmarkEnd w:id="197"/>
    </w:p>
    <w:p w14:paraId="277F38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8" w:name="_Toc12192_WPSOffice_Level3"/>
      <w:bookmarkStart w:id="199" w:name="_Toc3136"/>
      <w:bookmarkStart w:id="200" w:name="_Toc31551"/>
      <w:bookmarkStart w:id="201" w:name="_Toc142508333"/>
      <w:bookmarkStart w:id="202" w:name="_Toc486167683"/>
      <w:bookmarkStart w:id="203" w:name="_Toc450662868"/>
      <w:bookmarkStart w:id="204" w:name="_Toc29885"/>
      <w:bookmarkStart w:id="205" w:name="_Toc2903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98"/>
      <w:bookmarkEnd w:id="199"/>
      <w:bookmarkEnd w:id="200"/>
      <w:bookmarkEnd w:id="201"/>
      <w:bookmarkEnd w:id="202"/>
      <w:bookmarkEnd w:id="203"/>
      <w:bookmarkEnd w:id="204"/>
      <w:bookmarkEnd w:id="205"/>
    </w:p>
    <w:p w14:paraId="3FCCFC0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7E31F3BB">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4D5A833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91F15D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311358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7FC9DF65">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1015C73E">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44AD2255">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6903DC26">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AD1768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6" w:name="_Toc142508334"/>
      <w:bookmarkStart w:id="207" w:name="_Toc29665_WPSOffice_Level3"/>
      <w:bookmarkStart w:id="208" w:name="_Toc12582"/>
      <w:bookmarkStart w:id="209" w:name="_Toc486167684"/>
      <w:bookmarkStart w:id="210" w:name="_Toc4979"/>
      <w:bookmarkStart w:id="211" w:name="_Toc450662869"/>
      <w:bookmarkStart w:id="212" w:name="_Toc13973"/>
      <w:bookmarkStart w:id="213" w:name="_Toc23369"/>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06"/>
      <w:bookmarkEnd w:id="207"/>
      <w:bookmarkEnd w:id="208"/>
      <w:bookmarkEnd w:id="209"/>
      <w:bookmarkEnd w:id="210"/>
      <w:bookmarkEnd w:id="211"/>
      <w:bookmarkEnd w:id="212"/>
      <w:bookmarkEnd w:id="213"/>
    </w:p>
    <w:p w14:paraId="6A98FA8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8D0094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1C0169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C8AE35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14" w:name="_Toc21327"/>
      <w:bookmarkStart w:id="215" w:name="_Toc30287"/>
      <w:bookmarkStart w:id="216" w:name="_Toc30661"/>
      <w:bookmarkStart w:id="217" w:name="_Toc486167685"/>
      <w:bookmarkStart w:id="218" w:name="_Toc450662870"/>
      <w:bookmarkStart w:id="219" w:name="_Toc22431_WPSOffice_Level3"/>
      <w:bookmarkStart w:id="220" w:name="_Toc142508335"/>
      <w:bookmarkStart w:id="221" w:name="_Toc20835"/>
      <w:r>
        <w:rPr>
          <w:rFonts w:hint="eastAsia" w:ascii="宋体" w:hAnsi="宋体" w:eastAsia="宋体" w:cs="宋体"/>
          <w:color w:val="auto"/>
          <w:szCs w:val="21"/>
          <w:highlight w:val="none"/>
          <w:lang w:val="zh-CN"/>
        </w:rPr>
        <w:t>20 迟交的投标文件</w:t>
      </w:r>
      <w:bookmarkEnd w:id="214"/>
      <w:bookmarkEnd w:id="215"/>
      <w:bookmarkEnd w:id="216"/>
      <w:bookmarkEnd w:id="217"/>
      <w:bookmarkEnd w:id="218"/>
      <w:bookmarkEnd w:id="219"/>
      <w:bookmarkEnd w:id="220"/>
      <w:bookmarkEnd w:id="221"/>
    </w:p>
    <w:p w14:paraId="2F25D8A1">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60A23608">
      <w:pPr>
        <w:autoSpaceDE w:val="0"/>
        <w:autoSpaceDN w:val="0"/>
        <w:adjustRightInd w:val="0"/>
        <w:jc w:val="left"/>
        <w:rPr>
          <w:rFonts w:ascii="宋体" w:hAnsi="宋体" w:eastAsia="宋体" w:cs="宋体"/>
          <w:color w:val="auto"/>
          <w:kern w:val="0"/>
          <w:sz w:val="24"/>
          <w:szCs w:val="24"/>
          <w:highlight w:val="none"/>
        </w:rPr>
      </w:pPr>
    </w:p>
    <w:p w14:paraId="4352207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142508336"/>
      <w:bookmarkStart w:id="223" w:name="_Toc24876"/>
      <w:bookmarkStart w:id="224" w:name="_Toc4883_WPSOffice_Level3"/>
      <w:bookmarkStart w:id="225" w:name="_Toc27851"/>
      <w:bookmarkStart w:id="226" w:name="_Toc450662871"/>
      <w:bookmarkStart w:id="227" w:name="_Toc3814"/>
      <w:bookmarkStart w:id="228" w:name="_Toc486167686"/>
      <w:bookmarkStart w:id="229" w:name="_Toc9178"/>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22"/>
      <w:bookmarkEnd w:id="223"/>
      <w:bookmarkEnd w:id="224"/>
      <w:bookmarkEnd w:id="225"/>
      <w:bookmarkEnd w:id="226"/>
      <w:bookmarkEnd w:id="227"/>
      <w:bookmarkEnd w:id="228"/>
      <w:bookmarkEnd w:id="229"/>
    </w:p>
    <w:p w14:paraId="101A9EF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71AAC9B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CDDB01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A70164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349ACCD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03FBCA6">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0" w:name="_Toc28824"/>
      <w:bookmarkStart w:id="231" w:name="_Toc20923"/>
      <w:bookmarkStart w:id="232" w:name="_Toc28"/>
      <w:bookmarkStart w:id="233" w:name="_Toc140596896"/>
      <w:bookmarkStart w:id="234" w:name="_Toc450662872"/>
      <w:bookmarkStart w:id="235" w:name="_Toc30428"/>
      <w:bookmarkStart w:id="236" w:name="_Toc142508337"/>
      <w:bookmarkStart w:id="237" w:name="_Toc486167687"/>
      <w:bookmarkStart w:id="238" w:name="_Toc1049_WPSOffice_Level2"/>
      <w:r>
        <w:rPr>
          <w:rFonts w:hint="eastAsia" w:ascii="宋体" w:hAnsi="宋体" w:eastAsia="宋体" w:cs="宋体"/>
          <w:b/>
          <w:bCs/>
          <w:color w:val="auto"/>
          <w:kern w:val="44"/>
          <w:szCs w:val="21"/>
          <w:highlight w:val="none"/>
          <w:lang w:val="zh-CN"/>
        </w:rPr>
        <w:t>五、开标与评标</w:t>
      </w:r>
      <w:bookmarkEnd w:id="230"/>
      <w:bookmarkEnd w:id="231"/>
      <w:bookmarkEnd w:id="232"/>
      <w:bookmarkEnd w:id="233"/>
      <w:bookmarkEnd w:id="234"/>
      <w:bookmarkEnd w:id="235"/>
      <w:bookmarkEnd w:id="236"/>
      <w:bookmarkEnd w:id="237"/>
      <w:bookmarkEnd w:id="238"/>
    </w:p>
    <w:p w14:paraId="2992CDC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9" w:name="_Toc450662873"/>
      <w:bookmarkStart w:id="240" w:name="_Toc32206"/>
      <w:bookmarkStart w:id="241" w:name="_Toc142508338"/>
      <w:bookmarkStart w:id="242" w:name="_Toc144_WPSOffice_Level3"/>
      <w:bookmarkStart w:id="243" w:name="_Toc8728"/>
      <w:bookmarkStart w:id="244" w:name="_Toc486167688"/>
      <w:bookmarkStart w:id="245" w:name="_Toc31620"/>
      <w:bookmarkStart w:id="246" w:name="_Toc11256"/>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39"/>
      <w:bookmarkEnd w:id="240"/>
      <w:bookmarkEnd w:id="241"/>
      <w:bookmarkEnd w:id="242"/>
      <w:bookmarkEnd w:id="243"/>
      <w:bookmarkEnd w:id="244"/>
      <w:bookmarkEnd w:id="245"/>
      <w:bookmarkEnd w:id="246"/>
    </w:p>
    <w:p w14:paraId="2EB33C8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A4A9CC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BBD17C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708FDAD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Times New Roman"/>
          <w:color w:val="auto"/>
          <w:kern w:val="2"/>
          <w:sz w:val="21"/>
          <w:szCs w:val="21"/>
          <w:highlight w:val="none"/>
          <w:lang w:val="zh-CN" w:eastAsia="zh-CN"/>
        </w:rPr>
        <w:t>当</w:t>
      </w:r>
      <w:r>
        <w:rPr>
          <w:rFonts w:hint="eastAsia" w:ascii="宋体" w:hAnsi="宋体" w:eastAsia="宋体" w:cs="Times New Roman"/>
          <w:color w:val="auto"/>
          <w:kern w:val="2"/>
          <w:sz w:val="21"/>
          <w:szCs w:val="21"/>
          <w:highlight w:val="none"/>
          <w:lang w:val="zh-CN"/>
        </w:rPr>
        <w:t>以数字表示的折扣系数与以文字表示的折扣系数不一致时，以文字表示的折扣系数为准</w:t>
      </w:r>
      <w:r>
        <w:rPr>
          <w:rFonts w:hint="eastAsia" w:ascii="宋体" w:hAnsi="宋体" w:eastAsia="宋体" w:cs="宋体"/>
          <w:color w:val="auto"/>
          <w:szCs w:val="21"/>
          <w:highlight w:val="none"/>
          <w:lang w:val="zh-CN"/>
        </w:rPr>
        <w:t>。对不同文字文本投标文件的解释发生异议的，以中文文本为准。</w:t>
      </w:r>
    </w:p>
    <w:p w14:paraId="7914D1D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82FEFD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4E06CD6">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6ECDA3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7" w:name="_Toc12165_WPSOffice_Level3"/>
      <w:bookmarkStart w:id="248" w:name="_Toc945"/>
      <w:bookmarkStart w:id="249" w:name="_Toc23059"/>
      <w:bookmarkStart w:id="250" w:name="_Toc32534"/>
      <w:bookmarkStart w:id="251" w:name="_Toc486167689"/>
      <w:bookmarkStart w:id="252" w:name="_Toc142508339"/>
      <w:bookmarkStart w:id="253" w:name="_Toc23491"/>
      <w:bookmarkStart w:id="254"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47"/>
      <w:bookmarkEnd w:id="248"/>
      <w:bookmarkEnd w:id="249"/>
      <w:bookmarkEnd w:id="250"/>
      <w:bookmarkEnd w:id="251"/>
      <w:bookmarkEnd w:id="252"/>
      <w:bookmarkEnd w:id="253"/>
      <w:bookmarkEnd w:id="254"/>
    </w:p>
    <w:p w14:paraId="44E175C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11F284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797DFAC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FC8EF8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5" w:name="_Toc450662875"/>
      <w:bookmarkStart w:id="256" w:name="_Toc142508340"/>
      <w:bookmarkStart w:id="257" w:name="_Toc16920"/>
      <w:bookmarkStart w:id="258" w:name="_Toc486167690"/>
      <w:bookmarkStart w:id="259" w:name="_Toc800"/>
      <w:bookmarkStart w:id="260" w:name="_Toc15145"/>
      <w:bookmarkStart w:id="261" w:name="_Toc18693"/>
      <w:bookmarkStart w:id="262"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55"/>
      <w:bookmarkEnd w:id="256"/>
      <w:bookmarkEnd w:id="257"/>
      <w:bookmarkEnd w:id="258"/>
      <w:bookmarkEnd w:id="259"/>
      <w:bookmarkEnd w:id="260"/>
      <w:bookmarkEnd w:id="261"/>
      <w:bookmarkEnd w:id="262"/>
    </w:p>
    <w:p w14:paraId="5F9C113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28AF4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71F89B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7E8DDA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63" w:name="_Toc142508341"/>
      <w:bookmarkStart w:id="264" w:name="_Toc28910_WPSOffice_Level3"/>
      <w:bookmarkStart w:id="265" w:name="_Toc12715"/>
      <w:bookmarkStart w:id="266" w:name="_Toc8908"/>
      <w:bookmarkStart w:id="267" w:name="_Toc10041"/>
      <w:bookmarkStart w:id="268" w:name="_Toc18668"/>
      <w:bookmarkStart w:id="269" w:name="_Toc486167691"/>
      <w:bookmarkStart w:id="270"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63"/>
      <w:bookmarkEnd w:id="264"/>
      <w:bookmarkEnd w:id="265"/>
      <w:bookmarkEnd w:id="266"/>
      <w:bookmarkEnd w:id="267"/>
      <w:bookmarkEnd w:id="268"/>
      <w:bookmarkEnd w:id="269"/>
      <w:bookmarkEnd w:id="270"/>
    </w:p>
    <w:p w14:paraId="3FBC1B61">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EE58A40">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61F52073">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4CED925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25685"/>
      <w:bookmarkStart w:id="272" w:name="_Toc338_WPSOffice_Level3"/>
      <w:bookmarkStart w:id="273" w:name="_Toc450662877"/>
      <w:bookmarkStart w:id="274" w:name="_Toc142508342"/>
      <w:bookmarkStart w:id="275" w:name="_Toc486167692"/>
      <w:bookmarkStart w:id="276" w:name="_Toc30225"/>
      <w:bookmarkStart w:id="277" w:name="_Toc19456"/>
      <w:bookmarkStart w:id="278" w:name="_Toc483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1"/>
      <w:bookmarkEnd w:id="272"/>
      <w:bookmarkEnd w:id="273"/>
      <w:bookmarkEnd w:id="274"/>
      <w:bookmarkEnd w:id="275"/>
      <w:bookmarkEnd w:id="276"/>
      <w:bookmarkEnd w:id="277"/>
      <w:bookmarkEnd w:id="278"/>
    </w:p>
    <w:p w14:paraId="3953E0F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0E4840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7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421196C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79"/>
    <w:p w14:paraId="6E9F6152">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0" w:name="_Toc6970"/>
      <w:bookmarkStart w:id="281" w:name="_Toc522047355"/>
      <w:bookmarkStart w:id="282" w:name="_Toc22065"/>
      <w:bookmarkStart w:id="283" w:name="_Toc16138"/>
      <w:bookmarkStart w:id="284" w:name="_Toc142508343"/>
      <w:bookmarkStart w:id="285" w:name="_Toc18368_WPSOffice_Level3"/>
      <w:bookmarkStart w:id="286" w:name="_Toc521918096"/>
      <w:bookmarkStart w:id="287" w:name="_Toc10967"/>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0"/>
      <w:bookmarkEnd w:id="281"/>
      <w:bookmarkEnd w:id="282"/>
      <w:bookmarkEnd w:id="283"/>
      <w:bookmarkEnd w:id="284"/>
      <w:bookmarkEnd w:id="285"/>
      <w:bookmarkEnd w:id="286"/>
      <w:bookmarkEnd w:id="287"/>
    </w:p>
    <w:p w14:paraId="2A2F134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A92747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EB8D39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3764D6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36AC62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258664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58A7BE5">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88" w:name="_Toc522047356"/>
      <w:bookmarkStart w:id="289" w:name="_Toc521918097"/>
    </w:p>
    <w:p w14:paraId="15B6D50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142508344"/>
      <w:bookmarkStart w:id="291" w:name="_Toc27026"/>
      <w:bookmarkStart w:id="292" w:name="_Toc16829"/>
      <w:bookmarkStart w:id="293" w:name="_Toc21460_WPSOffice_Level3"/>
      <w:bookmarkStart w:id="294" w:name="_Toc14804"/>
      <w:bookmarkStart w:id="295" w:name="_Toc3046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88"/>
      <w:bookmarkEnd w:id="289"/>
      <w:bookmarkEnd w:id="290"/>
      <w:bookmarkEnd w:id="291"/>
      <w:bookmarkEnd w:id="292"/>
      <w:bookmarkEnd w:id="293"/>
      <w:bookmarkEnd w:id="294"/>
      <w:bookmarkEnd w:id="295"/>
    </w:p>
    <w:p w14:paraId="2F8D849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31183A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E9D184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149CDA7">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6E94927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84AF44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15446"/>
      <w:bookmarkStart w:id="297" w:name="_Toc142508345"/>
      <w:bookmarkStart w:id="298" w:name="_Toc4819"/>
      <w:bookmarkStart w:id="299" w:name="_Toc11615"/>
      <w:bookmarkStart w:id="300" w:name="_Toc29588"/>
      <w:bookmarkStart w:id="301" w:name="_Toc486167694"/>
      <w:bookmarkStart w:id="302" w:name="_Toc32498_WPSOffice_Level3"/>
      <w:bookmarkStart w:id="303" w:name="_Toc466882017"/>
      <w:bookmarkStart w:id="304"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96"/>
      <w:bookmarkEnd w:id="297"/>
      <w:bookmarkEnd w:id="298"/>
      <w:bookmarkEnd w:id="299"/>
      <w:bookmarkEnd w:id="300"/>
      <w:bookmarkEnd w:id="301"/>
      <w:bookmarkEnd w:id="302"/>
      <w:bookmarkEnd w:id="303"/>
      <w:bookmarkEnd w:id="304"/>
    </w:p>
    <w:p w14:paraId="098CDC2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8DC4427">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61D0C5AB">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0BA1D34">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537430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7D2666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03602F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E2B171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1218580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EFC5B8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A505BF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04C17B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2691D4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523F871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717BA6B1">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1361DF61">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05" w:name="_Toc466882018"/>
      <w:bookmarkStart w:id="306" w:name="_Toc486167695"/>
      <w:bookmarkStart w:id="307" w:name="_Toc5209"/>
      <w:bookmarkStart w:id="308" w:name="_Toc2077"/>
      <w:bookmarkStart w:id="309" w:name="_Toc26354"/>
      <w:bookmarkStart w:id="310" w:name="_Toc3154"/>
      <w:bookmarkStart w:id="311" w:name="_Toc465358970"/>
      <w:bookmarkStart w:id="312" w:name="_Toc142508346"/>
      <w:bookmarkStart w:id="313" w:name="_Toc1848_WPSOffice_Level3"/>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5"/>
      <w:bookmarkEnd w:id="306"/>
      <w:bookmarkEnd w:id="307"/>
      <w:bookmarkEnd w:id="308"/>
      <w:bookmarkEnd w:id="309"/>
      <w:bookmarkEnd w:id="310"/>
      <w:bookmarkEnd w:id="311"/>
      <w:bookmarkEnd w:id="312"/>
      <w:bookmarkEnd w:id="313"/>
    </w:p>
    <w:p w14:paraId="57E9664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49ABB9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FB2FC6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0589843">
      <w:pPr>
        <w:autoSpaceDE w:val="0"/>
        <w:autoSpaceDN w:val="0"/>
        <w:adjustRightInd w:val="0"/>
        <w:snapToGrid w:val="0"/>
        <w:spacing w:line="360" w:lineRule="auto"/>
        <w:jc w:val="left"/>
        <w:rPr>
          <w:rFonts w:ascii="宋体" w:hAnsi="宋体" w:eastAsia="宋体" w:cs="宋体"/>
          <w:color w:val="auto"/>
          <w:szCs w:val="21"/>
          <w:highlight w:val="none"/>
        </w:rPr>
      </w:pPr>
      <w:bookmarkStart w:id="314" w:name="_Toc465358971"/>
      <w:bookmarkStart w:id="315" w:name="_Toc466882019"/>
    </w:p>
    <w:p w14:paraId="765C99FD">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16" w:name="_Toc23672"/>
      <w:bookmarkStart w:id="317" w:name="_Toc142508347"/>
      <w:bookmarkStart w:id="318" w:name="_Toc10867_WPSOffice_Level3"/>
      <w:bookmarkStart w:id="319" w:name="_Toc15815"/>
      <w:bookmarkStart w:id="320" w:name="_Toc486167696"/>
      <w:bookmarkStart w:id="321" w:name="_Toc8654"/>
      <w:bookmarkStart w:id="322" w:name="_Toc132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4"/>
      <w:bookmarkEnd w:id="315"/>
      <w:bookmarkEnd w:id="316"/>
      <w:bookmarkEnd w:id="317"/>
      <w:bookmarkEnd w:id="318"/>
      <w:bookmarkEnd w:id="319"/>
      <w:bookmarkEnd w:id="320"/>
      <w:bookmarkEnd w:id="321"/>
      <w:bookmarkEnd w:id="322"/>
    </w:p>
    <w:p w14:paraId="6D5EA589">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019CB48A">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3" w:name="_Toc450662880"/>
    </w:p>
    <w:p w14:paraId="30587639">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24" w:name="_Toc27936"/>
      <w:bookmarkStart w:id="325" w:name="_Toc140596907"/>
      <w:bookmarkStart w:id="326" w:name="_Toc142508348"/>
      <w:bookmarkStart w:id="327" w:name="_Toc16848_WPSOffice_Level2"/>
      <w:bookmarkStart w:id="328" w:name="_Toc486167697"/>
      <w:bookmarkStart w:id="329" w:name="_Toc11941"/>
      <w:bookmarkStart w:id="330" w:name="_Toc16789"/>
      <w:bookmarkStart w:id="331" w:name="_Toc13656"/>
      <w:r>
        <w:rPr>
          <w:rFonts w:hint="eastAsia" w:ascii="宋体" w:hAnsi="宋体" w:eastAsia="宋体" w:cs="宋体"/>
          <w:b/>
          <w:bCs/>
          <w:color w:val="auto"/>
          <w:kern w:val="44"/>
          <w:szCs w:val="21"/>
          <w:highlight w:val="none"/>
          <w:lang w:val="zh-CN"/>
        </w:rPr>
        <w:t>六、授予合同</w:t>
      </w:r>
      <w:bookmarkEnd w:id="323"/>
      <w:bookmarkEnd w:id="324"/>
      <w:bookmarkEnd w:id="325"/>
      <w:bookmarkEnd w:id="326"/>
      <w:bookmarkEnd w:id="327"/>
      <w:bookmarkEnd w:id="328"/>
      <w:bookmarkEnd w:id="329"/>
      <w:bookmarkEnd w:id="330"/>
      <w:bookmarkEnd w:id="331"/>
    </w:p>
    <w:p w14:paraId="0D318E8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5463"/>
      <w:bookmarkStart w:id="333" w:name="_Toc486167698"/>
      <w:bookmarkStart w:id="334" w:name="_Toc9067"/>
      <w:bookmarkStart w:id="335" w:name="_Toc29383"/>
      <w:bookmarkStart w:id="336" w:name="_Toc6401_WPSOffice_Level3"/>
      <w:bookmarkStart w:id="337" w:name="_Toc142508349"/>
      <w:bookmarkStart w:id="338" w:name="_Toc31713"/>
      <w:bookmarkStart w:id="339" w:name="_Toc45066288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32"/>
      <w:bookmarkEnd w:id="333"/>
      <w:bookmarkEnd w:id="334"/>
      <w:bookmarkEnd w:id="335"/>
      <w:bookmarkEnd w:id="336"/>
      <w:bookmarkEnd w:id="337"/>
      <w:bookmarkEnd w:id="338"/>
      <w:bookmarkEnd w:id="339"/>
    </w:p>
    <w:p w14:paraId="0F39B55E">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6AE12E30">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CE520DE">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auto"/>
          <w:kern w:val="0"/>
          <w:szCs w:val="21"/>
          <w:highlight w:val="none"/>
        </w:rPr>
        <w:t>。</w:t>
      </w:r>
    </w:p>
    <w:p w14:paraId="69D7F02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0" w:name="_Toc450662885"/>
    </w:p>
    <w:p w14:paraId="70DDB2AB">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1" w:name="_Toc142508350"/>
      <w:bookmarkStart w:id="342" w:name="_Toc6726_WPSOffice_Level3"/>
      <w:bookmarkStart w:id="343" w:name="_Toc14377"/>
      <w:bookmarkStart w:id="344" w:name="_Toc30639"/>
      <w:bookmarkStart w:id="345" w:name="_Toc8196"/>
      <w:bookmarkStart w:id="346" w:name="_Toc486167699"/>
      <w:bookmarkStart w:id="347" w:name="_Toc18984"/>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0"/>
      <w:bookmarkEnd w:id="341"/>
      <w:bookmarkEnd w:id="342"/>
      <w:bookmarkEnd w:id="343"/>
      <w:bookmarkEnd w:id="344"/>
      <w:bookmarkEnd w:id="345"/>
      <w:bookmarkEnd w:id="346"/>
      <w:bookmarkEnd w:id="347"/>
    </w:p>
    <w:p w14:paraId="5C833CF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24FEE9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68CE4E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92E419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9" w:name="_Toc28020"/>
      <w:bookmarkStart w:id="350" w:name="_Toc9694_WPSOffice_Level3"/>
      <w:bookmarkStart w:id="351" w:name="_Toc486167700"/>
      <w:bookmarkStart w:id="352" w:name="_Toc142508351"/>
      <w:bookmarkStart w:id="353" w:name="_Toc1652"/>
      <w:bookmarkStart w:id="354" w:name="_Toc1331"/>
      <w:bookmarkStart w:id="355" w:name="_Toc19127"/>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48"/>
      <w:bookmarkEnd w:id="349"/>
      <w:bookmarkEnd w:id="350"/>
      <w:bookmarkEnd w:id="351"/>
      <w:bookmarkEnd w:id="352"/>
      <w:bookmarkEnd w:id="353"/>
      <w:bookmarkEnd w:id="354"/>
      <w:bookmarkEnd w:id="355"/>
    </w:p>
    <w:p w14:paraId="59F74618">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7797B80">
      <w:pPr>
        <w:tabs>
          <w:tab w:val="left" w:pos="540"/>
        </w:tabs>
        <w:autoSpaceDE w:val="0"/>
        <w:autoSpaceDN w:val="0"/>
        <w:adjustRightInd w:val="0"/>
        <w:snapToGrid/>
        <w:spacing w:line="360" w:lineRule="auto"/>
        <w:ind w:left="330" w:leftChars="-100" w:right="15" w:rightChars="7" w:hanging="540" w:firstLineChars="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r>
        <w:rPr>
          <w:rFonts w:hint="eastAsia" w:ascii="宋体" w:hAnsi="宋体" w:eastAsia="宋体" w:cs="Times New Roman"/>
          <w:color w:val="auto"/>
          <w:szCs w:val="21"/>
          <w:highlight w:val="none"/>
          <w:lang w:val="en-US" w:eastAsia="zh-CN"/>
        </w:rPr>
        <w:t>当</w:t>
      </w:r>
      <w:r>
        <w:rPr>
          <w:rFonts w:hint="eastAsia" w:ascii="宋体" w:hAnsi="宋体" w:eastAsia="宋体" w:cs="Times New Roman"/>
          <w:color w:val="auto"/>
          <w:szCs w:val="21"/>
          <w:highlight w:val="none"/>
          <w:lang w:val="zh-CN"/>
        </w:rPr>
        <w:t>以数字表示的折扣系数与以文字表示的折扣系数不一致时，以文字表示的折扣系数为准。经双方确认后，作为合同文件的组成部分。</w:t>
      </w:r>
    </w:p>
    <w:p w14:paraId="2A20B35C">
      <w:pPr>
        <w:tabs>
          <w:tab w:val="left" w:pos="540"/>
        </w:tabs>
        <w:autoSpaceDE w:val="0"/>
        <w:autoSpaceDN w:val="0"/>
        <w:adjustRightInd w:val="0"/>
        <w:snapToGrid/>
        <w:spacing w:line="360" w:lineRule="auto"/>
        <w:ind w:left="330" w:leftChars="-100" w:right="15" w:rightChars="7" w:hanging="540" w:firstLineChars="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34.3 本项目中标人与</w:t>
      </w:r>
      <w:r>
        <w:rPr>
          <w:rFonts w:hint="eastAsia" w:ascii="宋体" w:hAnsi="宋体" w:eastAsia="宋体" w:cs="Times New Roman"/>
          <w:color w:val="auto"/>
          <w:kern w:val="0"/>
          <w:szCs w:val="21"/>
          <w:highlight w:val="none"/>
        </w:rPr>
        <w:t>招标人及招标人权属子公司（东莞市水务集团净水有限公司、东莞市石鼓净水有限公司、东莞市莞水装备科技有限公司、东莞市清源净水科技有限公司以及东莞市樟村水质净化有限公司）共同签署一个合同</w:t>
      </w:r>
      <w:r>
        <w:rPr>
          <w:rFonts w:hint="eastAsia" w:ascii="宋体" w:hAnsi="宋体" w:eastAsia="宋体" w:cs="Times New Roman"/>
          <w:color w:val="auto"/>
          <w:szCs w:val="21"/>
          <w:highlight w:val="none"/>
          <w:lang w:val="en-US" w:eastAsia="zh-CN"/>
        </w:rPr>
        <w:t>。</w:t>
      </w:r>
    </w:p>
    <w:p w14:paraId="6AB3BE2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B0474E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6" w:name="_Toc142508352"/>
      <w:bookmarkStart w:id="357" w:name="_Toc5304"/>
      <w:bookmarkStart w:id="358" w:name="_Toc486167701"/>
      <w:bookmarkStart w:id="359" w:name="_Toc450662887"/>
      <w:bookmarkStart w:id="360" w:name="_Toc10513_WPSOffice_Level3"/>
      <w:bookmarkStart w:id="361" w:name="_Toc3830"/>
      <w:bookmarkStart w:id="362" w:name="_Toc25158"/>
      <w:bookmarkStart w:id="363" w:name="_Toc8181"/>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56"/>
      <w:bookmarkEnd w:id="357"/>
      <w:bookmarkEnd w:id="358"/>
      <w:bookmarkEnd w:id="359"/>
      <w:bookmarkEnd w:id="360"/>
      <w:bookmarkEnd w:id="361"/>
      <w:bookmarkEnd w:id="362"/>
      <w:bookmarkEnd w:id="363"/>
    </w:p>
    <w:p w14:paraId="013AC6E0">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64" w:name="_Toc466882025"/>
      <w:bookmarkStart w:id="36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按“本项目的含税暂定采购金额÷0.8×中标折扣系数”计算所得金额的5%，采用不可撤销银行履约保函形式的金额为按“本项目的含税暂定采购金额÷0.8×中标折扣系数”计算所得金额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w:t>
      </w:r>
      <w:r>
        <w:rPr>
          <w:rFonts w:hint="eastAsia" w:ascii="宋体" w:hAnsi="宋体" w:eastAsia="宋体" w:cs="Times New Roman"/>
          <w:b/>
          <w:bCs/>
          <w:color w:val="auto"/>
          <w:szCs w:val="21"/>
          <w:highlight w:val="none"/>
          <w:u w:val="single"/>
          <w:lang w:val="en-US" w:eastAsia="zh-CN"/>
        </w:rPr>
        <w:t>为</w:t>
      </w:r>
      <w:r>
        <w:rPr>
          <w:rFonts w:hint="eastAsia" w:ascii="宋体" w:hAnsi="宋体" w:eastAsia="宋体" w:cs="Times New Roman"/>
          <w:b/>
          <w:bCs/>
          <w:color w:val="auto"/>
          <w:szCs w:val="21"/>
          <w:highlight w:val="none"/>
          <w:u w:val="single"/>
          <w:lang w:val="zh-CN"/>
        </w:rPr>
        <w:t>按“本项目的含税暂定采购金额÷0.8×中标折扣系数”计算所得金额的8%，采用担保公司履约担保书形式的金额为按“本项目的含税暂定采购金额÷0.8×中标折扣系数”计算所得金额的10%。</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1"/>
          <w:highlight w:val="none"/>
          <w:lang w:eastAsia="zh-CN"/>
        </w:rPr>
        <w:t>）</w:t>
      </w:r>
      <w:r>
        <w:rPr>
          <w:rFonts w:hint="eastAsia" w:ascii="宋体" w:hAnsi="宋体" w:eastAsia="宋体" w:cs="Arial"/>
          <w:color w:val="auto"/>
          <w:kern w:val="0"/>
          <w:szCs w:val="24"/>
          <w:highlight w:val="none"/>
        </w:rPr>
        <w:t>造成的损失超过履约担保数额的，中标人还应当对超过部分予以赔偿，招标人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1"/>
          <w:highlight w:val="none"/>
          <w:lang w:eastAsia="zh-CN"/>
        </w:rPr>
        <w:t>）</w:t>
      </w:r>
      <w:r>
        <w:rPr>
          <w:rFonts w:hint="eastAsia" w:ascii="宋体" w:hAnsi="宋体" w:eastAsia="宋体" w:cs="Arial"/>
          <w:color w:val="auto"/>
          <w:kern w:val="0"/>
          <w:szCs w:val="24"/>
          <w:highlight w:val="none"/>
        </w:rPr>
        <w:t>并依法追究中标人的相应责任。</w:t>
      </w:r>
    </w:p>
    <w:p w14:paraId="5BE0090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有权依合同追究违约责任外，同时</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有权提取履约担保并进行相应处理</w:t>
      </w:r>
      <w:r>
        <w:rPr>
          <w:rFonts w:hint="eastAsia" w:ascii="宋体" w:hAnsi="宋体" w:eastAsia="宋体" w:cs="宋体"/>
          <w:color w:val="auto"/>
          <w:kern w:val="0"/>
          <w:szCs w:val="21"/>
          <w:highlight w:val="none"/>
        </w:rPr>
        <w:t>：</w:t>
      </w:r>
    </w:p>
    <w:p w14:paraId="1EDD016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书面同意将部分权利义务转让给第三方的，招标人有权没收其履约担保。</w:t>
      </w:r>
    </w:p>
    <w:p w14:paraId="103CEC4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通知或要求承担违约金后仍拒不改正的，招标人可依法没收或适当扣除其履约担保。</w:t>
      </w:r>
    </w:p>
    <w:p w14:paraId="14B7E3E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3）在合同履行期间，因中标人服务质量问题造成损害、侵权损失（包括但不限于招标人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与其所雇用员工发生劳资纠纷、上访、闹事或其他影响招标人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00141F7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0770AC3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5BC2588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0825B1B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78F52A0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E822BD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A8260D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21D88F0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9EF4A4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6EBBC1D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可撤销银行履约保函（或履约保证保险或担保公司履约担保书）应从合同签订之日起至合同期限届满并完成本合同及本合同下所有单项服务协议及补充协议的全部服务义务</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kern w:val="0"/>
          <w:szCs w:val="21"/>
        </w:rPr>
        <w:t>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kern w:val="0"/>
          <w:szCs w:val="21"/>
        </w:rPr>
        <w:t>向中标人支付全部款项</w:t>
      </w:r>
      <w:r>
        <w:rPr>
          <w:rFonts w:hint="eastAsia" w:ascii="宋体" w:hAnsi="宋体" w:eastAsia="宋体" w:cs="Times New Roman"/>
          <w:color w:val="auto"/>
          <w:kern w:val="0"/>
          <w:szCs w:val="21"/>
          <w:highlight w:val="none"/>
        </w:rPr>
        <w:t>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69ED8E7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496D4C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497CEFA2">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东莞市水务集团净水有限公司</w:t>
      </w: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2D0537C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开户名称：东莞市水务集团净水有限公司</w:t>
      </w:r>
    </w:p>
    <w:p w14:paraId="177935A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银行账号：2010021309900059661</w:t>
      </w:r>
    </w:p>
    <w:p w14:paraId="2B6359D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开户银行：中国工商银行股份有限公司东莞分行</w:t>
      </w:r>
    </w:p>
    <w:p w14:paraId="68375EC5">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82F8CD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lang w:bidi="ar"/>
        </w:rPr>
        <w:t>在合同期限届满并且</w:t>
      </w:r>
      <w:r>
        <w:rPr>
          <w:rFonts w:hint="eastAsia" w:ascii="宋体" w:hAnsi="宋体" w:eastAsia="宋体" w:cs="宋体"/>
          <w:color w:val="auto"/>
          <w:szCs w:val="21"/>
          <w:highlight w:val="none"/>
          <w:lang w:val="en-US" w:eastAsia="zh-CN" w:bidi="ar"/>
        </w:rPr>
        <w:t>中标人</w:t>
      </w:r>
      <w:r>
        <w:rPr>
          <w:rFonts w:hint="eastAsia" w:ascii="宋体" w:hAnsi="宋体" w:eastAsia="宋体" w:cs="宋体"/>
          <w:color w:val="auto"/>
          <w:szCs w:val="21"/>
          <w:highlight w:val="none"/>
          <w:lang w:bidi="ar"/>
        </w:rPr>
        <w:t>完成</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合同及</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合同下所有单项服务协议及补充协议的全部服务义务</w:t>
      </w:r>
      <w:r>
        <w:rPr>
          <w:rFonts w:hint="eastAsia" w:ascii="宋体" w:hAnsi="宋体" w:eastAsia="宋体" w:cs="宋体"/>
          <w:color w:val="auto"/>
          <w:kern w:val="2"/>
          <w:sz w:val="21"/>
          <w:szCs w:val="21"/>
          <w:highlight w:val="none"/>
          <w:lang w:val="en-US" w:eastAsia="zh-CN" w:bidi="ar"/>
        </w:rPr>
        <w:t>，招标人</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招标人权属子公司</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kern w:val="2"/>
          <w:sz w:val="21"/>
          <w:szCs w:val="21"/>
          <w:highlight w:val="none"/>
          <w:lang w:val="en-US" w:eastAsia="zh-CN" w:bidi="ar"/>
        </w:rPr>
        <w:t>向中标人支付全部款项后二十八(28)日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5B3C8EC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67472BA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6" w:name="_Toc27162"/>
      <w:bookmarkStart w:id="367" w:name="_Toc9247"/>
      <w:bookmarkStart w:id="368" w:name="_Toc9976"/>
      <w:bookmarkStart w:id="369" w:name="_Toc142508353"/>
      <w:bookmarkStart w:id="370" w:name="_Toc486167702"/>
      <w:bookmarkStart w:id="371" w:name="_Toc10548"/>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64"/>
      <w:bookmarkEnd w:id="365"/>
      <w:bookmarkEnd w:id="366"/>
      <w:bookmarkEnd w:id="367"/>
      <w:bookmarkEnd w:id="368"/>
      <w:bookmarkEnd w:id="369"/>
      <w:bookmarkEnd w:id="370"/>
      <w:bookmarkEnd w:id="371"/>
    </w:p>
    <w:p w14:paraId="7F5998EA">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730C576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2" w:name="_Toc450662888"/>
    </w:p>
    <w:p w14:paraId="26260184">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3" w:name="_Toc142508354"/>
      <w:bookmarkStart w:id="374" w:name="_Toc2401"/>
      <w:bookmarkStart w:id="375" w:name="_Toc21906"/>
      <w:bookmarkStart w:id="376" w:name="_Toc486167703"/>
      <w:bookmarkStart w:id="377" w:name="_Toc26429"/>
      <w:bookmarkStart w:id="378" w:name="_Toc28921_WPSOffice_Level3"/>
      <w:bookmarkStart w:id="379" w:name="_Toc23218"/>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72"/>
      <w:bookmarkEnd w:id="373"/>
      <w:bookmarkEnd w:id="374"/>
      <w:bookmarkEnd w:id="375"/>
      <w:bookmarkEnd w:id="376"/>
      <w:bookmarkEnd w:id="377"/>
      <w:bookmarkEnd w:id="378"/>
      <w:bookmarkEnd w:id="379"/>
    </w:p>
    <w:p w14:paraId="312F3BF9">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03048E1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0" w:name="_Toc450662889"/>
    </w:p>
    <w:p w14:paraId="53A897D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1" w:name="_Toc6796"/>
      <w:bookmarkStart w:id="382" w:name="_Toc142508355"/>
      <w:bookmarkStart w:id="383" w:name="_Toc21757"/>
      <w:bookmarkStart w:id="384" w:name="_Toc6764_WPSOffice_Level3"/>
      <w:bookmarkStart w:id="385" w:name="_Toc486167704"/>
      <w:bookmarkStart w:id="386" w:name="_Toc14194"/>
      <w:bookmarkStart w:id="387" w:name="_Toc2198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0"/>
      <w:bookmarkEnd w:id="381"/>
      <w:bookmarkEnd w:id="382"/>
      <w:bookmarkEnd w:id="383"/>
      <w:bookmarkEnd w:id="384"/>
      <w:bookmarkEnd w:id="385"/>
      <w:bookmarkEnd w:id="386"/>
      <w:bookmarkEnd w:id="387"/>
    </w:p>
    <w:p w14:paraId="7FBD36F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88" w:name="_Toc31106_WPSOffice_Level3"/>
      <w:bookmarkStart w:id="389" w:name="_Toc486167705"/>
      <w:r>
        <w:rPr>
          <w:rFonts w:hint="eastAsia" w:ascii="宋体" w:hAnsi="宋体" w:eastAsia="宋体" w:cs="Times New Roman"/>
          <w:color w:val="auto"/>
          <w:szCs w:val="21"/>
          <w:highlight w:val="none"/>
          <w:lang w:val="zh-CN"/>
        </w:rPr>
        <w:t>该项目获得中标的中标人在执行合同过程中，向招标人（或招标人权属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p>
    <w:p w14:paraId="62350F4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53E22CF">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90" w:name="_Toc8619"/>
      <w:bookmarkStart w:id="391" w:name="_Toc23961"/>
      <w:bookmarkStart w:id="392" w:name="_Toc27075"/>
      <w:bookmarkStart w:id="393" w:name="_Toc24547"/>
      <w:bookmarkStart w:id="394" w:name="_Toc142508356"/>
      <w:r>
        <w:rPr>
          <w:rFonts w:ascii="宋体" w:hAnsi="宋体" w:eastAsia="宋体" w:cs="宋体"/>
          <w:b/>
          <w:color w:val="auto"/>
          <w:szCs w:val="21"/>
          <w:highlight w:val="none"/>
        </w:rPr>
        <w:t>39 招标相关补充约定</w:t>
      </w:r>
      <w:bookmarkEnd w:id="390"/>
      <w:bookmarkEnd w:id="391"/>
      <w:bookmarkEnd w:id="392"/>
      <w:bookmarkEnd w:id="393"/>
      <w:bookmarkEnd w:id="394"/>
    </w:p>
    <w:p w14:paraId="4A47FE60">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43565CF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78AC8D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95" w:name="_Toc15491"/>
      <w:bookmarkStart w:id="396" w:name="_Toc142508357"/>
      <w:bookmarkStart w:id="397" w:name="_Toc26594"/>
      <w:bookmarkStart w:id="398" w:name="_Toc29758"/>
      <w:bookmarkStart w:id="399" w:name="_Toc520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88"/>
      <w:bookmarkEnd w:id="389"/>
      <w:bookmarkEnd w:id="395"/>
      <w:bookmarkEnd w:id="396"/>
      <w:bookmarkEnd w:id="397"/>
      <w:bookmarkEnd w:id="398"/>
      <w:bookmarkEnd w:id="399"/>
    </w:p>
    <w:p w14:paraId="49CBB74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00" w:name="_Toc142508358"/>
      <w:bookmarkStart w:id="401" w:name="_Toc450662891"/>
      <w:bookmarkStart w:id="402" w:name="_Toc27939_WPSOffice_Level1"/>
      <w:bookmarkStart w:id="403" w:name="_Toc19860"/>
      <w:bookmarkStart w:id="404" w:name="_Toc14879"/>
      <w:bookmarkStart w:id="405" w:name="_Toc21446"/>
      <w:bookmarkStart w:id="406" w:name="_Toc486167706"/>
      <w:bookmarkStart w:id="407" w:name="_Toc438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00"/>
      <w:bookmarkEnd w:id="401"/>
      <w:bookmarkEnd w:id="402"/>
      <w:bookmarkEnd w:id="403"/>
      <w:bookmarkEnd w:id="404"/>
      <w:bookmarkEnd w:id="405"/>
      <w:bookmarkEnd w:id="406"/>
      <w:bookmarkEnd w:id="407"/>
    </w:p>
    <w:p w14:paraId="5678266A">
      <w:pPr>
        <w:keepNext w:val="0"/>
        <w:keepLines w:val="0"/>
        <w:pageBreakBefore w:val="0"/>
        <w:widowControl/>
        <w:kinsoku/>
        <w:wordWrap/>
        <w:overflowPunct/>
        <w:topLinePunct/>
        <w:autoSpaceDE/>
        <w:autoSpaceDN/>
        <w:bidi w:val="0"/>
        <w:adjustRightInd w:val="0"/>
        <w:snapToGrid w:val="0"/>
        <w:spacing w:line="360" w:lineRule="auto"/>
        <w:ind w:left="432"/>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bookmarkStart w:id="408" w:name="_Toc9987"/>
      <w:bookmarkStart w:id="409" w:name="_Toc11281_WPSOffice_Level1"/>
      <w:bookmarkStart w:id="410" w:name="_Toc16287"/>
      <w:bookmarkStart w:id="411" w:name="_Toc486167707"/>
      <w:bookmarkStart w:id="412" w:name="_Toc450662892"/>
      <w:bookmarkStart w:id="413" w:name="_Toc142508359"/>
      <w:bookmarkStart w:id="414" w:name="_Toc20401"/>
      <w:bookmarkStart w:id="415" w:name="_Toc25251"/>
      <w:r>
        <w:rPr>
          <w:rFonts w:hint="eastAsia" w:ascii="宋体" w:hAnsi="宋体" w:eastAsia="宋体" w:cs="宋体"/>
          <w:b/>
          <w:bCs/>
          <w:snapToGrid w:val="0"/>
          <w:color w:val="auto"/>
          <w:spacing w:val="0"/>
          <w:kern w:val="0"/>
          <w:sz w:val="21"/>
          <w:szCs w:val="21"/>
          <w:highlight w:val="none"/>
          <w:lang w:val="en-US" w:eastAsia="en-US" w:bidi="ar-SA"/>
        </w:rPr>
        <w:t>一、项目概况</w:t>
      </w:r>
      <w:bookmarkEnd w:id="408"/>
    </w:p>
    <w:p w14:paraId="1FFAA8D3">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en-US" w:bidi="ar-SA"/>
        </w:rPr>
        <w:t>东莞市</w:t>
      </w:r>
      <w:r>
        <w:rPr>
          <w:rFonts w:hint="eastAsia" w:ascii="宋体" w:hAnsi="宋体" w:eastAsia="宋体" w:cs="宋体"/>
          <w:snapToGrid w:val="0"/>
          <w:color w:val="auto"/>
          <w:spacing w:val="0"/>
          <w:kern w:val="0"/>
          <w:sz w:val="21"/>
          <w:szCs w:val="21"/>
          <w:highlight w:val="none"/>
          <w:lang w:val="en-US" w:eastAsia="zh-CN" w:bidi="ar-SA"/>
        </w:rPr>
        <w:t>水务集团净水有限公司</w:t>
      </w:r>
      <w:r>
        <w:rPr>
          <w:rFonts w:hint="eastAsia" w:ascii="宋体" w:hAnsi="宋体" w:eastAsia="宋体" w:cs="宋体"/>
          <w:snapToGrid w:val="0"/>
          <w:color w:val="auto"/>
          <w:spacing w:val="0"/>
          <w:kern w:val="0"/>
          <w:sz w:val="21"/>
          <w:szCs w:val="21"/>
          <w:highlight w:val="none"/>
          <w:lang w:val="en-US" w:eastAsia="en-US" w:bidi="ar-SA"/>
        </w:rPr>
        <w:t>根据工作需要，现通过公开招标</w:t>
      </w:r>
      <w:r>
        <w:rPr>
          <w:rFonts w:hint="eastAsia" w:ascii="宋体" w:hAnsi="宋体" w:eastAsia="宋体" w:cs="宋体"/>
          <w:snapToGrid w:val="0"/>
          <w:color w:val="auto"/>
          <w:spacing w:val="0"/>
          <w:kern w:val="0"/>
          <w:sz w:val="21"/>
          <w:szCs w:val="21"/>
          <w:highlight w:val="none"/>
          <w:lang w:val="en-US" w:eastAsia="zh-CN" w:bidi="ar-SA"/>
        </w:rPr>
        <w:t>采购1</w:t>
      </w:r>
      <w:r>
        <w:rPr>
          <w:rFonts w:hint="eastAsia" w:ascii="宋体" w:hAnsi="宋体" w:eastAsia="宋体" w:cs="宋体"/>
          <w:snapToGrid w:val="0"/>
          <w:color w:val="auto"/>
          <w:spacing w:val="0"/>
          <w:kern w:val="0"/>
          <w:sz w:val="21"/>
          <w:szCs w:val="21"/>
          <w:highlight w:val="none"/>
          <w:lang w:val="en-US" w:eastAsia="en-US" w:bidi="ar-SA"/>
        </w:rPr>
        <w:t>家造价咨询单位</w:t>
      </w:r>
      <w:r>
        <w:rPr>
          <w:rFonts w:hint="eastAsia" w:ascii="宋体" w:hAnsi="宋体" w:eastAsia="宋体" w:cs="宋体"/>
          <w:snapToGrid w:val="0"/>
          <w:color w:val="auto"/>
          <w:spacing w:val="0"/>
          <w:kern w:val="0"/>
          <w:sz w:val="21"/>
          <w:szCs w:val="21"/>
          <w:highlight w:val="none"/>
          <w:lang w:val="en-US" w:eastAsia="zh-CN" w:bidi="ar-SA"/>
        </w:rPr>
        <w:t>开展</w:t>
      </w:r>
      <w:r>
        <w:rPr>
          <w:rFonts w:hint="eastAsia" w:ascii="宋体" w:hAnsi="宋体" w:eastAsia="宋体" w:cs="宋体"/>
          <w:snapToGrid w:val="0"/>
          <w:color w:val="auto"/>
          <w:spacing w:val="0"/>
          <w:kern w:val="0"/>
          <w:sz w:val="21"/>
          <w:szCs w:val="21"/>
          <w:highlight w:val="none"/>
          <w:lang w:val="en-US" w:eastAsia="en-US" w:bidi="ar-SA"/>
        </w:rPr>
        <w:t>造价</w:t>
      </w:r>
      <w:r>
        <w:rPr>
          <w:rFonts w:hint="eastAsia" w:ascii="宋体" w:hAnsi="宋体" w:eastAsia="宋体" w:cs="宋体"/>
          <w:snapToGrid w:val="0"/>
          <w:color w:val="auto"/>
          <w:spacing w:val="0"/>
          <w:kern w:val="0"/>
          <w:sz w:val="21"/>
          <w:szCs w:val="21"/>
          <w:highlight w:val="none"/>
          <w:lang w:val="en-US" w:eastAsia="zh-CN" w:bidi="ar-SA"/>
        </w:rPr>
        <w:t>相关</w:t>
      </w:r>
      <w:r>
        <w:rPr>
          <w:rFonts w:hint="eastAsia" w:ascii="宋体" w:hAnsi="宋体" w:eastAsia="宋体" w:cs="宋体"/>
          <w:snapToGrid w:val="0"/>
          <w:color w:val="auto"/>
          <w:spacing w:val="0"/>
          <w:kern w:val="0"/>
          <w:sz w:val="21"/>
          <w:szCs w:val="21"/>
          <w:highlight w:val="none"/>
          <w:lang w:val="en-US" w:eastAsia="en-US" w:bidi="ar-SA"/>
        </w:rPr>
        <w:t>咨询业务，主要包括东莞市水务集团</w:t>
      </w:r>
      <w:r>
        <w:rPr>
          <w:rFonts w:hint="eastAsia" w:ascii="宋体" w:hAnsi="宋体" w:eastAsia="宋体" w:cs="宋体"/>
          <w:snapToGrid w:val="0"/>
          <w:color w:val="auto"/>
          <w:spacing w:val="0"/>
          <w:kern w:val="0"/>
          <w:sz w:val="21"/>
          <w:szCs w:val="21"/>
          <w:highlight w:val="none"/>
          <w:lang w:val="en-US" w:eastAsia="zh-CN" w:bidi="ar-SA"/>
        </w:rPr>
        <w:t>净水</w:t>
      </w:r>
      <w:r>
        <w:rPr>
          <w:rFonts w:hint="eastAsia" w:ascii="宋体" w:hAnsi="宋体" w:eastAsia="宋体" w:cs="宋体"/>
          <w:snapToGrid w:val="0"/>
          <w:color w:val="auto"/>
          <w:spacing w:val="0"/>
          <w:kern w:val="0"/>
          <w:sz w:val="21"/>
          <w:szCs w:val="21"/>
          <w:highlight w:val="none"/>
          <w:lang w:val="en-US" w:eastAsia="en-US" w:bidi="ar-SA"/>
        </w:rPr>
        <w:t>有限公司</w:t>
      </w:r>
      <w:r>
        <w:rPr>
          <w:rFonts w:hint="eastAsia" w:ascii="宋体" w:hAnsi="宋体" w:eastAsia="宋体" w:cs="宋体"/>
          <w:snapToGrid w:val="0"/>
          <w:color w:val="auto"/>
          <w:spacing w:val="0"/>
          <w:kern w:val="0"/>
          <w:sz w:val="21"/>
          <w:szCs w:val="21"/>
          <w:highlight w:val="none"/>
          <w:lang w:val="en-US" w:eastAsia="zh-CN" w:bidi="ar-SA"/>
        </w:rPr>
        <w:t>及其权属子公司委托的造价咨询服务项目。</w:t>
      </w:r>
    </w:p>
    <w:p w14:paraId="3878A916">
      <w:pPr>
        <w:keepNext w:val="0"/>
        <w:keepLines w:val="0"/>
        <w:pageBreakBefore w:val="0"/>
        <w:widowControl/>
        <w:kinsoku/>
        <w:wordWrap/>
        <w:overflowPunct/>
        <w:topLinePunct/>
        <w:autoSpaceDE/>
        <w:autoSpaceDN/>
        <w:bidi w:val="0"/>
        <w:adjustRightInd w:val="0"/>
        <w:snapToGrid w:val="0"/>
        <w:spacing w:line="360" w:lineRule="auto"/>
        <w:ind w:left="432"/>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bookmarkStart w:id="416" w:name="_Toc28891"/>
      <w:r>
        <w:rPr>
          <w:rFonts w:hint="eastAsia" w:ascii="宋体" w:hAnsi="宋体" w:eastAsia="宋体" w:cs="宋体"/>
          <w:b/>
          <w:bCs/>
          <w:snapToGrid w:val="0"/>
          <w:color w:val="auto"/>
          <w:spacing w:val="0"/>
          <w:kern w:val="0"/>
          <w:sz w:val="21"/>
          <w:szCs w:val="21"/>
          <w:highlight w:val="none"/>
          <w:lang w:val="en-US" w:eastAsia="zh-CN" w:bidi="ar-SA"/>
        </w:rPr>
        <w:t>二</w:t>
      </w:r>
      <w:r>
        <w:rPr>
          <w:rFonts w:hint="eastAsia" w:ascii="宋体" w:hAnsi="宋体" w:eastAsia="宋体" w:cs="宋体"/>
          <w:b/>
          <w:bCs/>
          <w:snapToGrid w:val="0"/>
          <w:color w:val="auto"/>
          <w:spacing w:val="0"/>
          <w:kern w:val="0"/>
          <w:sz w:val="21"/>
          <w:szCs w:val="21"/>
          <w:highlight w:val="none"/>
          <w:lang w:val="en-US" w:eastAsia="en-US" w:bidi="ar-SA"/>
        </w:rPr>
        <w:t>、服务期限及服务内容</w:t>
      </w:r>
      <w:bookmarkEnd w:id="416"/>
    </w:p>
    <w:p w14:paraId="1AD5ECF3">
      <w:pPr>
        <w:keepNext w:val="0"/>
        <w:keepLines w:val="0"/>
        <w:pageBreakBefore w:val="0"/>
        <w:widowControl/>
        <w:kinsoku/>
        <w:wordWrap/>
        <w:overflowPunct/>
        <w:topLinePunct/>
        <w:autoSpaceDE/>
        <w:autoSpaceDN/>
        <w:bidi w:val="0"/>
        <w:adjustRightInd w:val="0"/>
        <w:snapToGrid w:val="0"/>
        <w:spacing w:line="360" w:lineRule="auto"/>
        <w:ind w:left="42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.1</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本项目服务期</w:t>
      </w:r>
      <w:r>
        <w:rPr>
          <w:rFonts w:hint="eastAsia" w:ascii="宋体" w:hAnsi="宋体" w:eastAsia="宋体" w:cs="宋体"/>
          <w:color w:val="auto"/>
        </w:rPr>
        <w:t>自合同签订日起</w:t>
      </w:r>
      <w:r>
        <w:rPr>
          <w:rFonts w:hint="eastAsia" w:ascii="宋体" w:hAnsi="宋体" w:eastAsia="宋体" w:cs="宋体"/>
          <w:color w:val="auto"/>
          <w:lang w:val="en-US" w:eastAsia="zh-CN"/>
        </w:rPr>
        <w:t>至</w:t>
      </w:r>
      <w:r>
        <w:rPr>
          <w:rFonts w:hint="eastAsia" w:ascii="宋体" w:hAnsi="宋体" w:eastAsia="宋体" w:cs="宋体"/>
          <w:snapToGrid w:val="0"/>
          <w:color w:val="auto"/>
          <w:spacing w:val="0"/>
          <w:kern w:val="0"/>
          <w:sz w:val="21"/>
          <w:szCs w:val="21"/>
          <w:highlight w:val="none"/>
          <w:lang w:val="en-US" w:eastAsia="en-US" w:bidi="ar-SA"/>
        </w:rPr>
        <w:t>2025年12月31日</w:t>
      </w:r>
      <w:r>
        <w:rPr>
          <w:rFonts w:hint="eastAsia" w:ascii="宋体" w:hAnsi="宋体" w:eastAsia="宋体" w:cs="宋体"/>
          <w:snapToGrid w:val="0"/>
          <w:color w:val="auto"/>
          <w:kern w:val="0"/>
          <w:szCs w:val="21"/>
          <w:highlight w:val="none"/>
          <w:lang w:val="en-US" w:eastAsia="zh-CN"/>
        </w:rPr>
        <w:t>招标人及</w:t>
      </w:r>
      <w:r>
        <w:rPr>
          <w:rFonts w:hint="eastAsia" w:ascii="宋体" w:hAnsi="宋体" w:eastAsia="宋体" w:cs="宋体"/>
          <w:snapToGrid w:val="0"/>
          <w:color w:val="auto"/>
          <w:kern w:val="0"/>
          <w:szCs w:val="21"/>
          <w:highlight w:val="none"/>
        </w:rPr>
        <w:t>其权属子公司</w:t>
      </w:r>
      <w:r>
        <w:rPr>
          <w:rFonts w:hint="eastAsia" w:ascii="宋体" w:hAnsi="宋体" w:eastAsia="宋体" w:cs="宋体"/>
          <w:snapToGrid w:val="0"/>
          <w:color w:val="auto"/>
          <w:kern w:val="0"/>
          <w:szCs w:val="21"/>
          <w:highlight w:val="none"/>
          <w:lang w:eastAsia="en-US"/>
        </w:rPr>
        <w:t>委托的全部造价咨询服务项目完成之日止</w:t>
      </w:r>
      <w:r>
        <w:rPr>
          <w:rFonts w:hint="eastAsia" w:ascii="宋体" w:hAnsi="宋体" w:eastAsia="宋体" w:cs="宋体"/>
          <w:snapToGrid w:val="0"/>
          <w:color w:val="auto"/>
          <w:spacing w:val="0"/>
          <w:kern w:val="0"/>
          <w:sz w:val="21"/>
          <w:szCs w:val="21"/>
          <w:highlight w:val="none"/>
          <w:lang w:val="en-US" w:eastAsia="en-US" w:bidi="ar-SA"/>
        </w:rPr>
        <w:t>。</w:t>
      </w:r>
    </w:p>
    <w:p w14:paraId="484D964A">
      <w:pPr>
        <w:keepNext w:val="0"/>
        <w:keepLines w:val="0"/>
        <w:pageBreakBefore w:val="0"/>
        <w:widowControl/>
        <w:kinsoku/>
        <w:wordWrap/>
        <w:overflowPunct/>
        <w:topLinePunct/>
        <w:autoSpaceDE/>
        <w:autoSpaceDN/>
        <w:bidi w:val="0"/>
        <w:adjustRightInd w:val="0"/>
        <w:snapToGrid w:val="0"/>
        <w:spacing w:line="360" w:lineRule="auto"/>
        <w:ind w:left="429"/>
        <w:jc w:val="left"/>
        <w:textAlignment w:val="baseline"/>
        <w:outlineLvl w:val="9"/>
        <w:rPr>
          <w:rFonts w:hint="default"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2.2 项目服务地点：</w:t>
      </w:r>
      <w:r>
        <w:rPr>
          <w:rFonts w:hint="eastAsia" w:ascii="宋体" w:hAnsi="宋体" w:eastAsia="宋体" w:cs="宋体"/>
          <w:snapToGrid w:val="0"/>
          <w:color w:val="auto"/>
          <w:spacing w:val="0"/>
          <w:kern w:val="0"/>
          <w:sz w:val="21"/>
          <w:szCs w:val="21"/>
          <w:highlight w:val="none"/>
          <w:lang w:val="en-US" w:eastAsia="en-US" w:bidi="ar-SA"/>
        </w:rPr>
        <w:t>东莞市</w:t>
      </w:r>
      <w:r>
        <w:rPr>
          <w:rFonts w:hint="eastAsia" w:ascii="宋体" w:hAnsi="宋体" w:eastAsia="宋体" w:cs="宋体"/>
          <w:snapToGrid w:val="0"/>
          <w:color w:val="auto"/>
          <w:spacing w:val="0"/>
          <w:kern w:val="0"/>
          <w:sz w:val="21"/>
          <w:szCs w:val="21"/>
          <w:highlight w:val="none"/>
          <w:lang w:val="en-US" w:eastAsia="zh-CN" w:bidi="ar-SA"/>
        </w:rPr>
        <w:t>范围内。</w:t>
      </w:r>
    </w:p>
    <w:p w14:paraId="00DDA50A">
      <w:pPr>
        <w:keepNext w:val="0"/>
        <w:keepLines w:val="0"/>
        <w:pageBreakBefore w:val="0"/>
        <w:widowControl/>
        <w:kinsoku/>
        <w:wordWrap/>
        <w:overflowPunct/>
        <w:topLinePunct/>
        <w:autoSpaceDE/>
        <w:autoSpaceDN/>
        <w:bidi w:val="0"/>
        <w:adjustRightInd w:val="0"/>
        <w:snapToGrid w:val="0"/>
        <w:spacing w:line="360" w:lineRule="auto"/>
        <w:ind w:left="42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 xml:space="preserve">3 </w:t>
      </w:r>
      <w:r>
        <w:rPr>
          <w:rFonts w:hint="eastAsia" w:ascii="宋体" w:hAnsi="宋体" w:eastAsia="宋体" w:cs="宋体"/>
          <w:snapToGrid w:val="0"/>
          <w:color w:val="auto"/>
          <w:spacing w:val="0"/>
          <w:kern w:val="0"/>
          <w:sz w:val="21"/>
          <w:szCs w:val="21"/>
          <w:highlight w:val="none"/>
          <w:lang w:val="en-US" w:eastAsia="en-US" w:bidi="ar-SA"/>
        </w:rPr>
        <w:t>本项目由中标人负责为招标人提供造价咨询服务，具体如下：</w:t>
      </w:r>
    </w:p>
    <w:p w14:paraId="52D6A01C">
      <w:pPr>
        <w:keepNext w:val="0"/>
        <w:keepLines w:val="0"/>
        <w:pageBreakBefore w:val="0"/>
        <w:widowControl/>
        <w:kinsoku/>
        <w:wordWrap/>
        <w:overflowPunct/>
        <w:topLinePunct/>
        <w:autoSpaceDE/>
        <w:autoSpaceDN/>
        <w:bidi w:val="0"/>
        <w:adjustRightInd w:val="0"/>
        <w:snapToGrid w:val="0"/>
        <w:spacing w:line="360" w:lineRule="auto"/>
        <w:ind w:right="417" w:firstLine="55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（1）</w:t>
      </w:r>
      <w:r>
        <w:rPr>
          <w:rFonts w:hint="eastAsia" w:ascii="宋体" w:hAnsi="宋体" w:eastAsia="宋体" w:cs="宋体"/>
          <w:snapToGrid w:val="0"/>
          <w:color w:val="auto"/>
          <w:spacing w:val="0"/>
          <w:kern w:val="0"/>
          <w:sz w:val="21"/>
          <w:szCs w:val="21"/>
          <w:highlight w:val="none"/>
          <w:lang w:val="en-US" w:eastAsia="en-US" w:bidi="ar-SA"/>
        </w:rPr>
        <w:t>根据国家、省、市有关工程造价相关法律法规，科学、客观、公正开展造价咨询服务工作；按招标人要求按时按质提供成果资料，并对其真实性、准确性、完整性、合法性、合理性负责；</w:t>
      </w:r>
    </w:p>
    <w:p w14:paraId="35A0A06D">
      <w:pPr>
        <w:keepNext w:val="0"/>
        <w:keepLines w:val="0"/>
        <w:pageBreakBefore w:val="0"/>
        <w:widowControl/>
        <w:kinsoku/>
        <w:wordWrap/>
        <w:overflowPunct/>
        <w:topLinePunct/>
        <w:autoSpaceDE/>
        <w:autoSpaceDN/>
        <w:bidi w:val="0"/>
        <w:adjustRightInd w:val="0"/>
        <w:snapToGrid w:val="0"/>
        <w:spacing w:line="360" w:lineRule="auto"/>
        <w:ind w:right="408" w:firstLine="55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根据</w:t>
      </w:r>
      <w:r>
        <w:rPr>
          <w:rFonts w:hint="eastAsia" w:ascii="宋体" w:hAnsi="宋体" w:eastAsia="宋体" w:cs="宋体"/>
          <w:snapToGrid w:val="0"/>
          <w:color w:val="auto"/>
          <w:spacing w:val="0"/>
          <w:kern w:val="0"/>
          <w:sz w:val="21"/>
          <w:szCs w:val="21"/>
          <w:highlight w:val="none"/>
          <w:lang w:val="en-US" w:eastAsia="zh-CN" w:bidi="ar-SA"/>
        </w:rPr>
        <w:t>招标</w:t>
      </w:r>
      <w:r>
        <w:rPr>
          <w:rFonts w:hint="eastAsia" w:ascii="宋体" w:hAnsi="宋体" w:eastAsia="宋体" w:cs="宋体"/>
          <w:snapToGrid w:val="0"/>
          <w:color w:val="auto"/>
          <w:spacing w:val="0"/>
          <w:kern w:val="0"/>
          <w:sz w:val="21"/>
          <w:szCs w:val="21"/>
          <w:highlight w:val="none"/>
          <w:lang w:val="en-US" w:eastAsia="en-US" w:bidi="ar-SA"/>
        </w:rPr>
        <w:t>人要求和提供的资料完成估算、概算编制或审核，施工图预算编制或审核</w:t>
      </w:r>
      <w:r>
        <w:rPr>
          <w:rFonts w:hint="eastAsia" w:ascii="宋体" w:hAnsi="宋体" w:eastAsia="宋体" w:cs="宋体"/>
          <w:snapToGrid w:val="0"/>
          <w:color w:val="auto"/>
          <w:spacing w:val="0"/>
          <w:kern w:val="0"/>
          <w:sz w:val="21"/>
          <w:szCs w:val="21"/>
          <w:highlight w:val="none"/>
          <w:lang w:val="en-US" w:eastAsia="zh-CN" w:bidi="ar-SA"/>
        </w:rPr>
        <w:t>，招标控制价编制，</w:t>
      </w:r>
      <w:r>
        <w:rPr>
          <w:rFonts w:hint="eastAsia" w:ascii="宋体" w:hAnsi="宋体" w:eastAsia="宋体" w:cs="宋体"/>
          <w:snapToGrid w:val="0"/>
          <w:color w:val="auto"/>
          <w:spacing w:val="0"/>
          <w:kern w:val="0"/>
          <w:sz w:val="21"/>
          <w:szCs w:val="21"/>
          <w:highlight w:val="none"/>
          <w:lang w:val="en-US" w:eastAsia="en-US" w:bidi="ar-SA"/>
        </w:rPr>
        <w:t>变更预算编制或审核</w:t>
      </w:r>
      <w:r>
        <w:rPr>
          <w:rFonts w:hint="eastAsia" w:ascii="宋体" w:hAnsi="宋体" w:eastAsia="宋体" w:cs="宋体"/>
          <w:snapToGrid w:val="0"/>
          <w:color w:val="auto"/>
          <w:spacing w:val="0"/>
          <w:kern w:val="0"/>
          <w:sz w:val="21"/>
          <w:szCs w:val="21"/>
          <w:highlight w:val="none"/>
          <w:lang w:val="en-US" w:eastAsia="zh-CN" w:bidi="ar-SA"/>
        </w:rPr>
        <w:t>，工程结算</w:t>
      </w:r>
      <w:r>
        <w:rPr>
          <w:rFonts w:hint="eastAsia" w:ascii="宋体" w:hAnsi="宋体" w:eastAsia="宋体" w:cs="宋体"/>
          <w:snapToGrid w:val="0"/>
          <w:color w:val="auto"/>
          <w:spacing w:val="0"/>
          <w:kern w:val="0"/>
          <w:sz w:val="21"/>
          <w:szCs w:val="21"/>
          <w:highlight w:val="none"/>
          <w:lang w:val="en-US" w:eastAsia="en-US" w:bidi="ar-SA"/>
        </w:rPr>
        <w:t>编制或审核</w:t>
      </w:r>
      <w:r>
        <w:rPr>
          <w:rFonts w:hint="eastAsia" w:ascii="宋体" w:hAnsi="宋体" w:eastAsia="宋体" w:cs="宋体"/>
          <w:snapToGrid w:val="0"/>
          <w:color w:val="auto"/>
          <w:spacing w:val="0"/>
          <w:kern w:val="0"/>
          <w:sz w:val="21"/>
          <w:szCs w:val="21"/>
          <w:highlight w:val="none"/>
          <w:lang w:val="en-US" w:eastAsia="zh-CN" w:bidi="ar-SA"/>
        </w:rPr>
        <w:t>，</w:t>
      </w:r>
      <w:r>
        <w:rPr>
          <w:rFonts w:hint="eastAsia" w:ascii="宋体" w:hAnsi="宋体" w:eastAsia="宋体" w:cs="宋体"/>
          <w:snapToGrid w:val="0"/>
          <w:color w:val="auto"/>
          <w:spacing w:val="0"/>
          <w:kern w:val="0"/>
          <w:sz w:val="21"/>
          <w:szCs w:val="21"/>
          <w:highlight w:val="none"/>
          <w:lang w:val="en-US" w:eastAsia="en-US" w:bidi="ar-SA"/>
        </w:rPr>
        <w:t>施工阶段全过程造价</w:t>
      </w:r>
      <w:r>
        <w:rPr>
          <w:rFonts w:hint="eastAsia" w:ascii="宋体" w:hAnsi="宋体" w:eastAsia="宋体" w:cs="宋体"/>
          <w:snapToGrid w:val="0"/>
          <w:color w:val="auto"/>
          <w:spacing w:val="0"/>
          <w:kern w:val="0"/>
          <w:sz w:val="21"/>
          <w:szCs w:val="21"/>
          <w:highlight w:val="none"/>
          <w:lang w:val="en-US" w:eastAsia="zh-CN" w:bidi="ar-SA"/>
        </w:rPr>
        <w:t>控制</w:t>
      </w:r>
      <w:r>
        <w:rPr>
          <w:rFonts w:hint="eastAsia" w:ascii="宋体" w:hAnsi="宋体" w:eastAsia="宋体" w:cs="宋体"/>
          <w:snapToGrid w:val="0"/>
          <w:color w:val="auto"/>
          <w:spacing w:val="0"/>
          <w:kern w:val="0"/>
          <w:sz w:val="21"/>
          <w:szCs w:val="21"/>
          <w:highlight w:val="none"/>
          <w:lang w:val="en-US" w:eastAsia="en-US" w:bidi="ar-SA"/>
        </w:rPr>
        <w:t>，以及非工程类的货物采购、服务</w:t>
      </w:r>
      <w:r>
        <w:rPr>
          <w:rFonts w:hint="default" w:ascii="宋体" w:hAnsi="宋体" w:eastAsia="宋体" w:cs="宋体"/>
          <w:snapToGrid w:val="0"/>
          <w:color w:val="auto"/>
          <w:spacing w:val="0"/>
          <w:kern w:val="0"/>
          <w:sz w:val="21"/>
          <w:szCs w:val="21"/>
          <w:highlight w:val="none"/>
          <w:lang w:val="en-US" w:eastAsia="en-US" w:bidi="ar-SA"/>
        </w:rPr>
        <w:t>类</w:t>
      </w:r>
      <w:r>
        <w:rPr>
          <w:rFonts w:hint="eastAsia" w:ascii="宋体" w:hAnsi="宋体" w:eastAsia="宋体" w:cs="宋体"/>
          <w:snapToGrid w:val="0"/>
          <w:color w:val="auto"/>
          <w:spacing w:val="0"/>
          <w:kern w:val="0"/>
          <w:sz w:val="21"/>
          <w:szCs w:val="21"/>
          <w:highlight w:val="none"/>
          <w:lang w:val="en-US" w:eastAsia="en-US" w:bidi="ar-SA"/>
        </w:rPr>
        <w:t>项目的预算</w:t>
      </w:r>
      <w:r>
        <w:rPr>
          <w:rFonts w:hint="eastAsia" w:ascii="宋体" w:hAnsi="宋体" w:eastAsia="宋体" w:cs="宋体"/>
          <w:snapToGrid w:val="0"/>
          <w:color w:val="auto"/>
          <w:spacing w:val="0"/>
          <w:kern w:val="0"/>
          <w:sz w:val="21"/>
          <w:szCs w:val="21"/>
          <w:highlight w:val="none"/>
          <w:lang w:val="en-US" w:eastAsia="zh-CN" w:bidi="ar-SA"/>
        </w:rPr>
        <w:t>（招标控制价）</w:t>
      </w:r>
      <w:r>
        <w:rPr>
          <w:rFonts w:hint="eastAsia" w:ascii="宋体" w:hAnsi="宋体" w:eastAsia="宋体" w:cs="宋体"/>
          <w:snapToGrid w:val="0"/>
          <w:color w:val="auto"/>
          <w:spacing w:val="0"/>
          <w:kern w:val="0"/>
          <w:sz w:val="21"/>
          <w:szCs w:val="21"/>
          <w:highlight w:val="none"/>
          <w:lang w:val="en-US" w:eastAsia="en-US" w:bidi="ar-SA"/>
        </w:rPr>
        <w:t>编审</w:t>
      </w:r>
      <w:r>
        <w:rPr>
          <w:rFonts w:hint="eastAsia" w:ascii="宋体" w:hAnsi="宋体" w:eastAsia="宋体" w:cs="宋体"/>
          <w:snapToGrid w:val="0"/>
          <w:color w:val="auto"/>
          <w:spacing w:val="0"/>
          <w:kern w:val="0"/>
          <w:sz w:val="21"/>
          <w:szCs w:val="21"/>
          <w:highlight w:val="none"/>
          <w:lang w:val="en-US" w:eastAsia="zh-CN" w:bidi="ar-SA"/>
        </w:rPr>
        <w:t>、合同结算</w:t>
      </w:r>
      <w:r>
        <w:rPr>
          <w:rFonts w:hint="eastAsia" w:ascii="宋体" w:hAnsi="宋体" w:eastAsia="宋体" w:cs="宋体"/>
          <w:snapToGrid w:val="0"/>
          <w:color w:val="auto"/>
          <w:spacing w:val="0"/>
          <w:kern w:val="0"/>
          <w:sz w:val="21"/>
          <w:szCs w:val="21"/>
          <w:highlight w:val="none"/>
          <w:lang w:val="en-US" w:eastAsia="en-US" w:bidi="ar-SA"/>
        </w:rPr>
        <w:t>等造价咨询业务，并出具成果文件；</w:t>
      </w:r>
    </w:p>
    <w:p w14:paraId="2C0A5271">
      <w:pPr>
        <w:keepNext w:val="0"/>
        <w:keepLines w:val="0"/>
        <w:pageBreakBefore w:val="0"/>
        <w:widowControl/>
        <w:kinsoku/>
        <w:wordWrap/>
        <w:overflowPunct/>
        <w:topLinePunct/>
        <w:autoSpaceDE/>
        <w:autoSpaceDN/>
        <w:bidi w:val="0"/>
        <w:adjustRightInd w:val="0"/>
        <w:snapToGrid w:val="0"/>
        <w:spacing w:line="360" w:lineRule="auto"/>
        <w:ind w:left="0" w:right="408" w:firstLine="559"/>
        <w:jc w:val="left"/>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bookmarkStart w:id="417" w:name="_Toc32008"/>
      <w:r>
        <w:rPr>
          <w:rFonts w:hint="eastAsia" w:ascii="宋体" w:hAnsi="宋体" w:eastAsia="宋体" w:cs="宋体"/>
          <w:snapToGrid w:val="0"/>
          <w:color w:val="auto"/>
          <w:spacing w:val="0"/>
          <w:kern w:val="0"/>
          <w:sz w:val="21"/>
          <w:szCs w:val="21"/>
          <w:highlight w:val="none"/>
          <w:lang w:val="en-US" w:eastAsia="zh-CN" w:bidi="ar-SA"/>
        </w:rPr>
        <w:t>（3）积极配合招标人开展造价咨询服务工作，包括对数，修改、出具成果文件，扫描成果文件，必要时需派驻人员至招标人所在的办公地点（东莞市范围内）配合招标人开展造价咨询相关工作；</w:t>
      </w:r>
    </w:p>
    <w:p w14:paraId="03A4C29C">
      <w:pPr>
        <w:keepNext w:val="0"/>
        <w:keepLines w:val="0"/>
        <w:pageBreakBefore w:val="0"/>
        <w:widowControl/>
        <w:kinsoku/>
        <w:wordWrap/>
        <w:overflowPunct/>
        <w:topLinePunct/>
        <w:autoSpaceDE/>
        <w:autoSpaceDN/>
        <w:bidi w:val="0"/>
        <w:adjustRightInd w:val="0"/>
        <w:snapToGrid w:val="0"/>
        <w:spacing w:line="360" w:lineRule="auto"/>
        <w:ind w:left="0" w:right="408" w:firstLine="559"/>
        <w:jc w:val="left"/>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（4）</w:t>
      </w:r>
      <w:r>
        <w:rPr>
          <w:rFonts w:hint="eastAsia" w:ascii="宋体" w:hAnsi="宋体" w:eastAsia="宋体" w:cs="宋体"/>
          <w:snapToGrid w:val="0"/>
          <w:color w:val="auto"/>
          <w:kern w:val="0"/>
          <w:szCs w:val="21"/>
          <w:highlight w:val="none"/>
        </w:rPr>
        <w:t>中标人应满足招标人委托要求，在造价咨询服务过程中对造价成果进行合理性分析，并提出优化造价的具体建议，最终形成分析报告与造价成果文件一并提交。</w:t>
      </w:r>
    </w:p>
    <w:p w14:paraId="18A1DDAA">
      <w:pPr>
        <w:keepNext w:val="0"/>
        <w:keepLines w:val="0"/>
        <w:pageBreakBefore w:val="0"/>
        <w:widowControl/>
        <w:kinsoku/>
        <w:wordWrap/>
        <w:overflowPunct/>
        <w:topLinePunct/>
        <w:autoSpaceDE/>
        <w:autoSpaceDN/>
        <w:bidi w:val="0"/>
        <w:adjustRightInd w:val="0"/>
        <w:snapToGrid w:val="0"/>
        <w:spacing w:line="360" w:lineRule="auto"/>
        <w:ind w:left="559"/>
        <w:jc w:val="left"/>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对工作内容保密</w:t>
      </w:r>
      <w:r>
        <w:rPr>
          <w:rFonts w:hint="eastAsia" w:ascii="宋体" w:hAnsi="宋体" w:eastAsia="宋体" w:cs="宋体"/>
          <w:snapToGrid w:val="0"/>
          <w:color w:val="auto"/>
          <w:spacing w:val="0"/>
          <w:kern w:val="0"/>
          <w:sz w:val="21"/>
          <w:szCs w:val="21"/>
          <w:highlight w:val="none"/>
          <w:lang w:val="en-US" w:eastAsia="zh-CN" w:bidi="ar-SA"/>
        </w:rPr>
        <w:t>。</w:t>
      </w:r>
    </w:p>
    <w:p w14:paraId="4C845239">
      <w:pPr>
        <w:keepNext w:val="0"/>
        <w:keepLines w:val="0"/>
        <w:pageBreakBefore w:val="0"/>
        <w:widowControl/>
        <w:kinsoku/>
        <w:wordWrap/>
        <w:overflowPunct/>
        <w:topLinePunct/>
        <w:autoSpaceDE/>
        <w:autoSpaceDN/>
        <w:bidi w:val="0"/>
        <w:adjustRightInd w:val="0"/>
        <w:snapToGrid w:val="0"/>
        <w:spacing w:line="360" w:lineRule="auto"/>
        <w:ind w:left="9" w:firstLine="420" w:firstLineChars="200"/>
        <w:jc w:val="left"/>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2.4 合同履约过程中，根据招标人及招标人的权属子公司的委托单开展单项造价咨询服务。开展造价咨询服务的委托单由招标人及招标人的权属子公司出具，表单内容、格式等要求由招标人及招标人的权属子公司决定。</w:t>
      </w:r>
      <w:bookmarkEnd w:id="417"/>
    </w:p>
    <w:p w14:paraId="52223099">
      <w:pPr>
        <w:keepNext w:val="0"/>
        <w:keepLines w:val="0"/>
        <w:pageBreakBefore w:val="0"/>
        <w:widowControl/>
        <w:kinsoku/>
        <w:wordWrap/>
        <w:overflowPunct/>
        <w:topLinePunct/>
        <w:autoSpaceDE/>
        <w:autoSpaceDN/>
        <w:bidi w:val="0"/>
        <w:adjustRightInd w:val="0"/>
        <w:snapToGrid w:val="0"/>
        <w:spacing w:line="360" w:lineRule="auto"/>
        <w:ind w:left="42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 xml:space="preserve">5 </w:t>
      </w:r>
      <w:r>
        <w:rPr>
          <w:rFonts w:hint="eastAsia" w:ascii="宋体" w:hAnsi="宋体" w:eastAsia="宋体" w:cs="宋体"/>
          <w:snapToGrid w:val="0"/>
          <w:color w:val="auto"/>
          <w:spacing w:val="0"/>
          <w:kern w:val="0"/>
          <w:sz w:val="21"/>
          <w:szCs w:val="21"/>
          <w:highlight w:val="none"/>
          <w:lang w:val="en-US" w:eastAsia="en-US" w:bidi="ar-SA"/>
        </w:rPr>
        <w:t>中标人应本着诚实信用的原则，高效率的提供本用户需求书规定的各项服务。</w:t>
      </w:r>
    </w:p>
    <w:p w14:paraId="47FB495B">
      <w:pPr>
        <w:keepNext w:val="0"/>
        <w:keepLines w:val="0"/>
        <w:pageBreakBefore w:val="0"/>
        <w:widowControl/>
        <w:kinsoku/>
        <w:wordWrap/>
        <w:overflowPunct/>
        <w:topLinePunct/>
        <w:autoSpaceDE/>
        <w:autoSpaceDN/>
        <w:bidi w:val="0"/>
        <w:adjustRightInd w:val="0"/>
        <w:snapToGrid w:val="0"/>
        <w:spacing w:line="360" w:lineRule="auto"/>
        <w:ind w:left="432"/>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bookmarkStart w:id="418" w:name="_Toc5042"/>
      <w:r>
        <w:rPr>
          <w:rFonts w:hint="eastAsia" w:ascii="宋体" w:hAnsi="宋体" w:eastAsia="宋体" w:cs="宋体"/>
          <w:b/>
          <w:bCs/>
          <w:snapToGrid w:val="0"/>
          <w:color w:val="auto"/>
          <w:spacing w:val="0"/>
          <w:kern w:val="0"/>
          <w:sz w:val="21"/>
          <w:szCs w:val="21"/>
          <w:highlight w:val="none"/>
          <w:lang w:val="en-US" w:eastAsia="zh-CN" w:bidi="ar-SA"/>
        </w:rPr>
        <w:t>三</w:t>
      </w:r>
      <w:r>
        <w:rPr>
          <w:rFonts w:hint="eastAsia" w:ascii="宋体" w:hAnsi="宋体" w:eastAsia="宋体" w:cs="宋体"/>
          <w:b/>
          <w:bCs/>
          <w:snapToGrid w:val="0"/>
          <w:color w:val="auto"/>
          <w:spacing w:val="0"/>
          <w:kern w:val="0"/>
          <w:sz w:val="21"/>
          <w:szCs w:val="21"/>
          <w:highlight w:val="none"/>
          <w:lang w:val="en-US" w:eastAsia="en-US" w:bidi="ar-SA"/>
        </w:rPr>
        <w:t>、服务费的计算及支付方式</w:t>
      </w:r>
      <w:bookmarkEnd w:id="418"/>
    </w:p>
    <w:p w14:paraId="32FA0F68">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3</w:t>
      </w:r>
      <w:r>
        <w:rPr>
          <w:rFonts w:hint="eastAsia" w:ascii="宋体" w:hAnsi="宋体" w:eastAsia="宋体" w:cs="宋体"/>
          <w:snapToGrid w:val="0"/>
          <w:color w:val="auto"/>
          <w:spacing w:val="0"/>
          <w:kern w:val="0"/>
          <w:sz w:val="21"/>
          <w:szCs w:val="21"/>
          <w:highlight w:val="none"/>
          <w:lang w:val="en-US" w:eastAsia="en-US" w:bidi="ar-SA"/>
        </w:rPr>
        <w:t>.1投标人无需就本项目进行具体报价，仅须按照</w:t>
      </w:r>
      <w:r>
        <w:rPr>
          <w:rFonts w:hint="eastAsia" w:ascii="宋体" w:hAnsi="宋体" w:eastAsia="宋体" w:cs="宋体"/>
          <w:snapToGrid w:val="0"/>
          <w:color w:val="auto"/>
          <w:spacing w:val="0"/>
          <w:kern w:val="0"/>
          <w:sz w:val="21"/>
          <w:szCs w:val="21"/>
          <w:highlight w:val="none"/>
          <w:lang w:val="en-US" w:eastAsia="zh-CN" w:bidi="ar-SA"/>
        </w:rPr>
        <w:t>招标</w:t>
      </w:r>
      <w:r>
        <w:rPr>
          <w:rFonts w:hint="eastAsia" w:ascii="宋体" w:hAnsi="宋体" w:eastAsia="宋体" w:cs="宋体"/>
          <w:snapToGrid w:val="0"/>
          <w:color w:val="auto"/>
          <w:spacing w:val="0"/>
          <w:kern w:val="0"/>
          <w:sz w:val="21"/>
          <w:szCs w:val="21"/>
          <w:highlight w:val="none"/>
          <w:lang w:val="en-US" w:eastAsia="en-US" w:bidi="ar-SA"/>
        </w:rPr>
        <w:t>文件规定</w:t>
      </w:r>
      <w:r>
        <w:rPr>
          <w:rFonts w:hint="eastAsia" w:ascii="宋体" w:hAnsi="宋体" w:eastAsia="宋体" w:cs="宋体"/>
          <w:snapToGrid w:val="0"/>
          <w:color w:val="auto"/>
          <w:spacing w:val="0"/>
          <w:kern w:val="0"/>
          <w:sz w:val="21"/>
          <w:szCs w:val="21"/>
          <w:highlight w:val="none"/>
          <w:lang w:val="en-US" w:eastAsia="zh-CN" w:bidi="ar-SA"/>
        </w:rPr>
        <w:t>的</w:t>
      </w:r>
      <w:r>
        <w:rPr>
          <w:rFonts w:hint="eastAsia" w:ascii="宋体" w:hAnsi="宋体" w:eastAsia="宋体" w:cs="宋体"/>
          <w:snapToGrid w:val="0"/>
          <w:color w:val="auto"/>
          <w:spacing w:val="0"/>
          <w:kern w:val="0"/>
          <w:sz w:val="21"/>
          <w:szCs w:val="21"/>
          <w:highlight w:val="none"/>
          <w:lang w:val="en-US" w:eastAsia="en-US" w:bidi="ar-SA"/>
        </w:rPr>
        <w:t>格式要求进行填报造价咨询服务费折扣</w:t>
      </w:r>
      <w:r>
        <w:rPr>
          <w:rFonts w:hint="eastAsia" w:ascii="宋体" w:hAnsi="宋体" w:eastAsia="宋体" w:cs="宋体"/>
          <w:snapToGrid w:val="0"/>
          <w:color w:val="auto"/>
          <w:spacing w:val="0"/>
          <w:kern w:val="0"/>
          <w:sz w:val="21"/>
          <w:szCs w:val="21"/>
          <w:highlight w:val="none"/>
          <w:lang w:val="en-US" w:eastAsia="zh-CN" w:bidi="ar-SA"/>
        </w:rPr>
        <w:t>系数</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本项目服务折扣系数不大于0.8。本项目暂定采购金额为</w:t>
      </w:r>
      <w:r>
        <w:rPr>
          <w:rFonts w:hint="default" w:ascii="宋体" w:hAnsi="宋体" w:eastAsia="宋体" w:cs="宋体"/>
          <w:snapToGrid w:val="0"/>
          <w:color w:val="auto"/>
          <w:spacing w:val="0"/>
          <w:kern w:val="0"/>
          <w:sz w:val="21"/>
          <w:szCs w:val="21"/>
          <w:highlight w:val="none"/>
          <w:lang w:val="en-US" w:eastAsia="zh-CN" w:bidi="ar-SA"/>
        </w:rPr>
        <w:t>765</w:t>
      </w:r>
      <w:r>
        <w:rPr>
          <w:rFonts w:hint="eastAsia" w:ascii="宋体" w:hAnsi="宋体" w:eastAsia="宋体" w:cs="宋体"/>
          <w:snapToGrid w:val="0"/>
          <w:color w:val="auto"/>
          <w:spacing w:val="0"/>
          <w:kern w:val="0"/>
          <w:sz w:val="21"/>
          <w:szCs w:val="21"/>
          <w:highlight w:val="none"/>
          <w:lang w:val="en-US" w:eastAsia="zh-CN" w:bidi="ar-SA"/>
        </w:rPr>
        <w:t>,</w:t>
      </w:r>
      <w:r>
        <w:rPr>
          <w:rFonts w:hint="default" w:ascii="宋体" w:hAnsi="宋体" w:eastAsia="宋体" w:cs="宋体"/>
          <w:snapToGrid w:val="0"/>
          <w:color w:val="auto"/>
          <w:spacing w:val="0"/>
          <w:kern w:val="0"/>
          <w:sz w:val="21"/>
          <w:szCs w:val="21"/>
          <w:highlight w:val="none"/>
          <w:lang w:val="en-US" w:eastAsia="zh-CN" w:bidi="ar-SA"/>
        </w:rPr>
        <w:t>942.79</w:t>
      </w:r>
      <w:r>
        <w:rPr>
          <w:rFonts w:hint="eastAsia" w:ascii="宋体" w:hAnsi="宋体" w:eastAsia="宋体" w:cs="宋体"/>
          <w:snapToGrid w:val="0"/>
          <w:color w:val="auto"/>
          <w:spacing w:val="0"/>
          <w:kern w:val="0"/>
          <w:sz w:val="21"/>
          <w:szCs w:val="21"/>
          <w:highlight w:val="none"/>
          <w:lang w:val="en-US" w:eastAsia="zh-CN" w:bidi="ar-SA"/>
        </w:rPr>
        <w:t>元，</w:t>
      </w:r>
      <w:r>
        <w:rPr>
          <w:rFonts w:hint="default" w:ascii="宋体" w:hAnsi="宋体" w:eastAsia="宋体" w:cs="宋体"/>
          <w:snapToGrid w:val="0"/>
          <w:color w:val="auto"/>
          <w:spacing w:val="0"/>
          <w:kern w:val="0"/>
          <w:sz w:val="21"/>
          <w:szCs w:val="21"/>
          <w:highlight w:val="none"/>
          <w:lang w:val="en-US" w:eastAsia="zh-CN" w:bidi="ar-SA"/>
        </w:rPr>
        <w:t>暂定采购</w:t>
      </w:r>
      <w:r>
        <w:rPr>
          <w:rFonts w:hint="eastAsia" w:ascii="宋体" w:hAnsi="宋体" w:eastAsia="宋体" w:cs="宋体"/>
          <w:snapToGrid w:val="0"/>
          <w:color w:val="auto"/>
          <w:spacing w:val="0"/>
          <w:kern w:val="0"/>
          <w:sz w:val="21"/>
          <w:szCs w:val="21"/>
          <w:highlight w:val="none"/>
          <w:lang w:val="en-US" w:eastAsia="zh-CN" w:bidi="ar-SA"/>
        </w:rPr>
        <w:t>金额不作为招标人最终合同金额的保证。以招标人实际委托的单项咨询服务据实结算。中标人不得因招标人实际服务金额的减少或增加而要求提供任何形式的补偿或赔偿或者要求招标人按暂定采购金额采购相应单项咨询服务。</w:t>
      </w:r>
      <w:r>
        <w:rPr>
          <w:rFonts w:hint="eastAsia" w:ascii="宋体" w:hAnsi="宋体" w:eastAsia="宋体" w:cs="宋体"/>
          <w:snapToGrid w:val="0"/>
          <w:color w:val="auto"/>
          <w:spacing w:val="0"/>
          <w:kern w:val="0"/>
          <w:sz w:val="21"/>
          <w:szCs w:val="21"/>
          <w:highlight w:val="none"/>
          <w:lang w:val="en-US" w:eastAsia="en-US" w:bidi="ar-SA"/>
        </w:rPr>
        <w:t>单项造价咨询服务费参照《广东省物价局关于调整我省建设工程造价咨询服务收费</w:t>
      </w:r>
      <w:r>
        <w:rPr>
          <w:rFonts w:hint="eastAsia" w:ascii="宋体" w:hAnsi="宋体" w:eastAsia="宋体" w:cs="宋体"/>
          <w:snapToGrid w:val="0"/>
          <w:color w:val="auto"/>
          <w:spacing w:val="0"/>
          <w:kern w:val="0"/>
          <w:sz w:val="21"/>
          <w:szCs w:val="21"/>
          <w:highlight w:val="none"/>
          <w:lang w:val="en-US" w:eastAsia="zh-CN" w:bidi="ar-SA"/>
        </w:rPr>
        <w:t>的复函》(粤价函〔2011〕742号)中收费项目对应的收费</w:t>
      </w:r>
      <w:r>
        <w:rPr>
          <w:rFonts w:hint="eastAsia" w:ascii="宋体" w:hAnsi="宋体" w:eastAsia="宋体" w:cs="宋体"/>
          <w:snapToGrid w:val="0"/>
          <w:color w:val="auto"/>
          <w:spacing w:val="0"/>
          <w:kern w:val="0"/>
          <w:sz w:val="21"/>
          <w:szCs w:val="21"/>
          <w:highlight w:val="none"/>
          <w:lang w:val="en-US" w:eastAsia="en-US" w:bidi="ar-SA"/>
        </w:rPr>
        <w:t>标准</w:t>
      </w:r>
      <w:r>
        <w:rPr>
          <w:rFonts w:hint="eastAsia" w:ascii="宋体" w:hAnsi="宋体" w:eastAsia="宋体" w:cs="宋体"/>
          <w:snapToGrid w:val="0"/>
          <w:color w:val="auto"/>
          <w:spacing w:val="0"/>
          <w:kern w:val="0"/>
          <w:sz w:val="21"/>
          <w:szCs w:val="21"/>
          <w:highlight w:val="none"/>
          <w:lang w:val="en-US" w:eastAsia="zh-CN" w:bidi="ar-SA"/>
        </w:rPr>
        <w:t>，再乘以服务折扣系数，</w:t>
      </w:r>
      <w:r>
        <w:rPr>
          <w:rFonts w:hint="eastAsia" w:ascii="宋体" w:hAnsi="宋体" w:eastAsia="宋体" w:cs="宋体"/>
          <w:b/>
          <w:bCs/>
          <w:snapToGrid w:val="0"/>
          <w:color w:val="auto"/>
          <w:spacing w:val="0"/>
          <w:kern w:val="0"/>
          <w:sz w:val="21"/>
          <w:szCs w:val="21"/>
          <w:highlight w:val="none"/>
          <w:lang w:val="en-US" w:eastAsia="zh-CN" w:bidi="ar-SA"/>
        </w:rPr>
        <w:t>单项造价咨询服务不设最低收费</w:t>
      </w:r>
      <w:r>
        <w:rPr>
          <w:rFonts w:hint="eastAsia" w:ascii="宋体" w:hAnsi="宋体" w:eastAsia="宋体" w:cs="宋体"/>
          <w:snapToGrid w:val="0"/>
          <w:color w:val="auto"/>
          <w:spacing w:val="0"/>
          <w:kern w:val="0"/>
          <w:sz w:val="21"/>
          <w:szCs w:val="21"/>
          <w:highlight w:val="none"/>
          <w:lang w:val="en-US" w:eastAsia="zh-CN" w:bidi="ar-SA"/>
        </w:rPr>
        <w:t>。</w:t>
      </w:r>
      <w:r>
        <w:rPr>
          <w:rFonts w:hint="eastAsia" w:ascii="宋体" w:hAnsi="宋体" w:eastAsia="宋体" w:cs="宋体"/>
          <w:snapToGrid w:val="0"/>
          <w:color w:val="auto"/>
          <w:spacing w:val="0"/>
          <w:kern w:val="0"/>
          <w:sz w:val="21"/>
          <w:szCs w:val="21"/>
          <w:highlight w:val="none"/>
          <w:lang w:val="en-US" w:eastAsia="en-US" w:bidi="ar-SA"/>
        </w:rPr>
        <w:t>详细计费</w:t>
      </w:r>
      <w:r>
        <w:rPr>
          <w:rFonts w:hint="eastAsia" w:ascii="宋体" w:hAnsi="宋体" w:eastAsia="宋体" w:cs="宋体"/>
          <w:snapToGrid w:val="0"/>
          <w:color w:val="auto"/>
          <w:spacing w:val="0"/>
          <w:kern w:val="0"/>
          <w:sz w:val="21"/>
          <w:szCs w:val="21"/>
          <w:highlight w:val="none"/>
          <w:lang w:val="en-US" w:eastAsia="zh-CN" w:bidi="ar-SA"/>
        </w:rPr>
        <w:t>规则如下：</w:t>
      </w:r>
    </w:p>
    <w:p w14:paraId="1F4147A5">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bookmarkStart w:id="419" w:name="_Toc24084"/>
      <w:r>
        <w:rPr>
          <w:rFonts w:hint="eastAsia" w:ascii="宋体" w:hAnsi="宋体" w:eastAsia="宋体" w:cs="宋体"/>
          <w:snapToGrid w:val="0"/>
          <w:color w:val="auto"/>
          <w:spacing w:val="0"/>
          <w:kern w:val="0"/>
          <w:sz w:val="21"/>
          <w:szCs w:val="21"/>
          <w:highlight w:val="none"/>
          <w:lang w:val="en-US" w:eastAsia="zh-CN" w:bidi="ar-SA"/>
        </w:rPr>
        <w:t>3.1.1 工程类项目的造价咨询费计费规则</w:t>
      </w:r>
      <w:bookmarkEnd w:id="419"/>
    </w:p>
    <w:p w14:paraId="65B62CC2">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投资估算的编制或审核、工程概算的编制或审核、工程预算的编制或审核、工程结算的编制、工程结算审核、施工阶段全过程造价控制，按《广东省建设工程造价咨询服务收费项目和收费标准表》(粤价函〔2011〕742号)相应的收费标准计费，再乘以服务折扣系数。如编制或审核的成果金额中含土地征用、迁移补偿等为取得或租用土地使用权而发生的费用，则以编制或审核的成果金额直接扣减该费用作为收费基数。</w:t>
      </w:r>
    </w:p>
    <w:p w14:paraId="4853EBBB">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bookmarkStart w:id="420" w:name="_Toc21495"/>
      <w:r>
        <w:rPr>
          <w:rFonts w:hint="eastAsia" w:ascii="宋体" w:hAnsi="宋体" w:eastAsia="宋体" w:cs="宋体"/>
          <w:snapToGrid w:val="0"/>
          <w:color w:val="auto"/>
          <w:spacing w:val="0"/>
          <w:kern w:val="0"/>
          <w:sz w:val="21"/>
          <w:szCs w:val="21"/>
          <w:highlight w:val="none"/>
          <w:lang w:val="en-US" w:eastAsia="zh-CN" w:bidi="ar-SA"/>
        </w:rPr>
        <w:t>3.1.2 非工程类货物采购、服务</w:t>
      </w:r>
      <w:r>
        <w:rPr>
          <w:rFonts w:hint="default" w:ascii="宋体" w:hAnsi="宋体" w:eastAsia="宋体" w:cs="宋体"/>
          <w:snapToGrid w:val="0"/>
          <w:color w:val="auto"/>
          <w:spacing w:val="0"/>
          <w:kern w:val="0"/>
          <w:sz w:val="21"/>
          <w:szCs w:val="21"/>
          <w:highlight w:val="none"/>
          <w:lang w:val="en-US" w:eastAsia="zh-CN" w:bidi="ar-SA"/>
        </w:rPr>
        <w:t>类</w:t>
      </w:r>
      <w:r>
        <w:rPr>
          <w:rFonts w:hint="eastAsia" w:ascii="宋体" w:hAnsi="宋体" w:eastAsia="宋体" w:cs="宋体"/>
          <w:snapToGrid w:val="0"/>
          <w:color w:val="auto"/>
          <w:spacing w:val="0"/>
          <w:kern w:val="0"/>
          <w:sz w:val="21"/>
          <w:szCs w:val="21"/>
          <w:highlight w:val="none"/>
          <w:lang w:val="en-US" w:eastAsia="zh-CN" w:bidi="ar-SA"/>
        </w:rPr>
        <w:t>项目的预算（招标控制价）编审、结算</w:t>
      </w:r>
      <w:bookmarkEnd w:id="420"/>
    </w:p>
    <w:p w14:paraId="4687C9BD">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（1）预算（招标控制价）编审以单个委托单的清单条数为基准，按200元/条计算，有重复项的，只按一条计算，造价咨询费等于清单条数×200元/条，</w:t>
      </w:r>
      <w:r>
        <w:rPr>
          <w:rFonts w:hint="eastAsia" w:ascii="宋体" w:hAnsi="宋体" w:eastAsia="宋体" w:cs="宋体"/>
          <w:color w:val="auto"/>
          <w:kern w:val="2"/>
          <w:sz w:val="21"/>
          <w:szCs w:val="21"/>
          <w:highlight w:val="none"/>
          <w:lang w:val="en-US" w:eastAsia="zh-CN" w:bidi="ar"/>
        </w:rPr>
        <w:t>每单不足2000元按2000元计算，再乘以服务折扣系数；同时，单个委托单最高收费不超过其含税总预算价的1%，</w:t>
      </w:r>
      <w:r>
        <w:rPr>
          <w:rFonts w:hint="eastAsia" w:ascii="宋体" w:hAnsi="宋体" w:eastAsia="宋体" w:cs="宋体"/>
          <w:snapToGrid w:val="0"/>
          <w:color w:val="auto"/>
          <w:spacing w:val="0"/>
          <w:kern w:val="0"/>
          <w:sz w:val="21"/>
          <w:szCs w:val="21"/>
          <w:highlight w:val="none"/>
          <w:lang w:val="en-US" w:eastAsia="zh-CN" w:bidi="ar-SA"/>
        </w:rPr>
        <w:t>如遇特殊情况双方另行协商确定。</w:t>
      </w:r>
    </w:p>
    <w:p w14:paraId="0E94E410">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（2）货物合同结算、服务合同结算，以单个项目计算，每单2000元，再乘以服务折扣系数。</w:t>
      </w:r>
    </w:p>
    <w:p w14:paraId="378778F3">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bookmarkStart w:id="421" w:name="_Toc12963"/>
      <w:r>
        <w:rPr>
          <w:rFonts w:hint="eastAsia" w:ascii="宋体" w:hAnsi="宋体" w:eastAsia="宋体" w:cs="宋体"/>
          <w:snapToGrid w:val="0"/>
          <w:color w:val="auto"/>
          <w:spacing w:val="0"/>
          <w:kern w:val="0"/>
          <w:sz w:val="21"/>
          <w:szCs w:val="21"/>
          <w:highlight w:val="none"/>
          <w:lang w:val="en-US" w:eastAsia="zh-CN" w:bidi="ar-SA"/>
        </w:rPr>
        <w:t>3.1.3 其他</w:t>
      </w:r>
      <w:bookmarkEnd w:id="421"/>
    </w:p>
    <w:p w14:paraId="4070025D">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（1）清单不平衡报价审核按每单项（单项造价委托）2000 元，再乘以服务折扣系数计取。</w:t>
      </w:r>
    </w:p>
    <w:p w14:paraId="6BD3375B">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（2）进度款支付审核按每单项（单项造价委托）2000 元，再乘以服务折扣系数计取。</w:t>
      </w:r>
    </w:p>
    <w:p w14:paraId="3859BD10">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（3）工程变更预算编制或审核，以“│变更增加│+│变更减少│”即绝对值之和为计费基数，按《广东省建设工程造价咨询服务收费项目和收费标准表》(粤价函</w:t>
      </w:r>
      <w:r>
        <w:rPr>
          <w:rFonts w:hint="eastAsia" w:ascii="宋体" w:hAnsi="宋体" w:eastAsia="宋体" w:cs="宋体"/>
          <w:snapToGrid w:val="0"/>
          <w:color w:val="auto"/>
          <w:kern w:val="0"/>
          <w:szCs w:val="21"/>
          <w:highlight w:val="none"/>
        </w:rPr>
        <w:t>〔2011〕</w:t>
      </w:r>
      <w:r>
        <w:rPr>
          <w:rFonts w:hint="eastAsia" w:ascii="宋体" w:hAnsi="宋体" w:eastAsia="宋体" w:cs="宋体"/>
          <w:snapToGrid w:val="0"/>
          <w:color w:val="auto"/>
          <w:spacing w:val="0"/>
          <w:kern w:val="0"/>
          <w:sz w:val="21"/>
          <w:szCs w:val="21"/>
          <w:highlight w:val="none"/>
          <w:lang w:val="en-US" w:eastAsia="zh-CN" w:bidi="ar-SA"/>
        </w:rPr>
        <w:t>742号)中工程预算的编制或审核相应的收费标准及相关规定计费，再乘以服务折扣系数。变更的单项清单中，直接沿用原合同清单的(即不产生计算工程量及单价的)，不计入计费基数。</w:t>
      </w:r>
    </w:p>
    <w:p w14:paraId="417DF5E3">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（4）施工合同结算，对于总价包干合同，原合同价部分不参与计算咨询费。</w:t>
      </w:r>
    </w:p>
    <w:p w14:paraId="4C8E741F">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（5）如项目实施过程中，若存在单位工程未按概算总表中的单位工程目录实施，则施工阶段全过程造价咨询费的收费基数需重新调整对应的概算金额后重新计算。</w:t>
      </w:r>
    </w:p>
    <w:p w14:paraId="79A86195">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（6）在造价咨询服务过程中，如因建设标准、项目完整性等原因造成设计图纸修改，致使工程造价需要重新修改和确定，双方另行商议需增加的工作时限以及造价咨询服务费用。</w:t>
      </w:r>
    </w:p>
    <w:p w14:paraId="637BCC0C">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3</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en-US" w:bidi="ar-SA"/>
        </w:rPr>
        <w:t xml:space="preserve"> 单项造价咨询服务费包括了中标人完成招标文件和合同约定的全部工作所需支付的一切费用，为包干价，包括但不限于</w:t>
      </w:r>
      <w:r>
        <w:rPr>
          <w:rFonts w:hint="eastAsia" w:ascii="宋体" w:hAnsi="宋体" w:eastAsia="宋体" w:cs="宋体"/>
          <w:snapToGrid w:val="0"/>
          <w:color w:val="auto"/>
          <w:spacing w:val="0"/>
          <w:kern w:val="0"/>
          <w:sz w:val="21"/>
          <w:szCs w:val="21"/>
          <w:highlight w:val="none"/>
          <w:lang w:val="en-US" w:eastAsia="zh-CN" w:bidi="ar-SA"/>
        </w:rPr>
        <w:t>：</w:t>
      </w:r>
      <w:r>
        <w:rPr>
          <w:rFonts w:hint="eastAsia" w:ascii="宋体" w:hAnsi="宋体" w:eastAsia="宋体" w:cs="宋体"/>
          <w:snapToGrid w:val="0"/>
          <w:color w:val="auto"/>
          <w:spacing w:val="0"/>
          <w:kern w:val="0"/>
          <w:sz w:val="21"/>
          <w:szCs w:val="21"/>
          <w:highlight w:val="none"/>
          <w:lang w:val="en-US" w:eastAsia="en-US" w:bidi="ar-SA"/>
        </w:rPr>
        <w:t>(1)人员人工费(工资及加班工资、福利、社保、住房公积金、节日补贴、高温津贴、劳保、服装和膳食、意外伤害保险、加班费、住宿补贴、市内交通补贴</w:t>
      </w:r>
      <w:r>
        <w:rPr>
          <w:rFonts w:hint="eastAsia" w:ascii="宋体" w:hAnsi="宋体" w:eastAsia="宋体" w:cs="宋体"/>
          <w:snapToGrid w:val="0"/>
          <w:color w:val="auto"/>
          <w:spacing w:val="0"/>
          <w:kern w:val="0"/>
          <w:sz w:val="21"/>
          <w:szCs w:val="21"/>
          <w:highlight w:val="none"/>
          <w:lang w:val="en-US" w:eastAsia="zh-CN" w:bidi="ar-SA"/>
        </w:rPr>
        <w:t>、</w:t>
      </w:r>
      <w:r>
        <w:rPr>
          <w:rFonts w:hint="eastAsia" w:ascii="宋体" w:hAnsi="宋体" w:eastAsia="宋体" w:cs="宋体"/>
          <w:snapToGrid w:val="0"/>
          <w:color w:val="auto"/>
          <w:spacing w:val="0"/>
          <w:kern w:val="0"/>
          <w:sz w:val="21"/>
          <w:szCs w:val="21"/>
          <w:highlight w:val="none"/>
          <w:lang w:val="en-US" w:eastAsia="en-US" w:bidi="ar-SA"/>
        </w:rPr>
        <w:t>培训、经济补偿等)、驻场服务所需的差旅费、食宿费、交通费、通讯费、配合费、办理履约担保所需等费用；(2)合理利润、税费等；(3)法律法规、行业公认、完成合同实施过程中由投标人承担的其他直接及间接费用。</w:t>
      </w:r>
    </w:p>
    <w:p w14:paraId="033EA17A">
      <w:pPr>
        <w:keepNext w:val="0"/>
        <w:keepLines w:val="0"/>
        <w:pageBreakBefore w:val="0"/>
        <w:widowControl/>
        <w:kinsoku/>
        <w:wordWrap/>
        <w:overflowPunct/>
        <w:topLinePunct/>
        <w:autoSpaceDE/>
        <w:autoSpaceDN/>
        <w:bidi w:val="0"/>
        <w:adjustRightInd w:val="0"/>
        <w:snapToGrid w:val="0"/>
        <w:spacing w:line="360" w:lineRule="auto"/>
        <w:ind w:right="474" w:firstLine="419"/>
        <w:jc w:val="both"/>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3</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 xml:space="preserve">3 </w:t>
      </w:r>
      <w:r>
        <w:rPr>
          <w:rFonts w:hint="eastAsia" w:ascii="宋体" w:hAnsi="宋体" w:eastAsia="宋体" w:cs="宋体"/>
          <w:snapToGrid w:val="0"/>
          <w:color w:val="auto"/>
          <w:spacing w:val="0"/>
          <w:kern w:val="0"/>
          <w:sz w:val="21"/>
          <w:szCs w:val="21"/>
          <w:highlight w:val="none"/>
          <w:lang w:val="en-US" w:eastAsia="en-US" w:bidi="ar-SA"/>
        </w:rPr>
        <w:t>付费周期：以季度为单位，即按季度计量支付服务费。合同款项由</w:t>
      </w:r>
      <w:r>
        <w:rPr>
          <w:rFonts w:hint="eastAsia" w:ascii="宋体" w:hAnsi="宋体" w:eastAsia="宋体" w:cs="宋体"/>
          <w:snapToGrid w:val="0"/>
          <w:color w:val="auto"/>
          <w:spacing w:val="0"/>
          <w:kern w:val="0"/>
          <w:sz w:val="21"/>
          <w:szCs w:val="21"/>
          <w:highlight w:val="none"/>
          <w:lang w:val="en-US" w:eastAsia="zh-CN" w:bidi="ar-SA"/>
        </w:rPr>
        <w:t>招标</w:t>
      </w:r>
      <w:r>
        <w:rPr>
          <w:rFonts w:hint="eastAsia" w:ascii="宋体" w:hAnsi="宋体" w:eastAsia="宋体" w:cs="宋体"/>
          <w:snapToGrid w:val="0"/>
          <w:color w:val="auto"/>
          <w:spacing w:val="0"/>
          <w:kern w:val="0"/>
          <w:sz w:val="21"/>
          <w:szCs w:val="21"/>
          <w:highlight w:val="none"/>
          <w:lang w:val="en-US" w:eastAsia="en-US" w:bidi="ar-SA"/>
        </w:rPr>
        <w:t>人（或招标人的权属子公司）通过银行转账或银行承兑汇票方式支付相应款项至本</w:t>
      </w:r>
      <w:r>
        <w:rPr>
          <w:rFonts w:hint="eastAsia" w:ascii="宋体" w:hAnsi="宋体" w:eastAsia="宋体" w:cs="宋体"/>
          <w:snapToGrid w:val="0"/>
          <w:color w:val="auto"/>
          <w:spacing w:val="0"/>
          <w:kern w:val="0"/>
          <w:sz w:val="21"/>
          <w:szCs w:val="21"/>
          <w:highlight w:val="none"/>
          <w:lang w:val="en-US" w:eastAsia="zh-CN" w:bidi="ar-SA"/>
        </w:rPr>
        <w:t>项目</w:t>
      </w:r>
      <w:r>
        <w:rPr>
          <w:rFonts w:hint="eastAsia" w:ascii="宋体" w:hAnsi="宋体" w:eastAsia="宋体" w:cs="宋体"/>
          <w:snapToGrid w:val="0"/>
          <w:color w:val="auto"/>
          <w:spacing w:val="0"/>
          <w:kern w:val="0"/>
          <w:sz w:val="21"/>
          <w:szCs w:val="21"/>
          <w:highlight w:val="none"/>
          <w:lang w:val="en-US" w:eastAsia="en-US" w:bidi="ar-SA"/>
        </w:rPr>
        <w:t>合同载明的中标人银行账户，汇票期限不超过三个月。</w:t>
      </w:r>
    </w:p>
    <w:p w14:paraId="714D1C81">
      <w:pPr>
        <w:keepNext w:val="0"/>
        <w:keepLines w:val="0"/>
        <w:pageBreakBefore w:val="0"/>
        <w:widowControl/>
        <w:kinsoku/>
        <w:wordWrap/>
        <w:overflowPunct/>
        <w:topLinePunct/>
        <w:autoSpaceDE/>
        <w:autoSpaceDN/>
        <w:bidi w:val="0"/>
        <w:adjustRightInd w:val="0"/>
        <w:snapToGrid w:val="0"/>
        <w:spacing w:line="360" w:lineRule="auto"/>
        <w:ind w:right="435" w:firstLine="429"/>
        <w:jc w:val="both"/>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3</w:t>
      </w:r>
      <w:r>
        <w:rPr>
          <w:rFonts w:hint="eastAsia" w:ascii="宋体" w:hAnsi="宋体" w:eastAsia="宋体" w:cs="宋体"/>
          <w:snapToGrid w:val="0"/>
          <w:color w:val="auto"/>
          <w:spacing w:val="0"/>
          <w:kern w:val="0"/>
          <w:sz w:val="21"/>
          <w:szCs w:val="21"/>
          <w:highlight w:val="none"/>
          <w:lang w:val="en-US" w:eastAsia="en-US" w:bidi="ar-SA"/>
        </w:rPr>
        <w:t>.</w:t>
      </w:r>
      <w:r>
        <w:rPr>
          <w:rFonts w:hint="eastAsia" w:ascii="宋体" w:hAnsi="宋体" w:eastAsia="宋体" w:cs="宋体"/>
          <w:snapToGrid w:val="0"/>
          <w:color w:val="auto"/>
          <w:spacing w:val="0"/>
          <w:kern w:val="0"/>
          <w:sz w:val="21"/>
          <w:szCs w:val="21"/>
          <w:highlight w:val="none"/>
          <w:lang w:val="en-US" w:eastAsia="zh-CN" w:bidi="ar-SA"/>
        </w:rPr>
        <w:t xml:space="preserve">4 </w:t>
      </w:r>
      <w:r>
        <w:rPr>
          <w:rFonts w:hint="eastAsia" w:ascii="宋体" w:hAnsi="宋体" w:eastAsia="宋体" w:cs="宋体"/>
          <w:snapToGrid w:val="0"/>
          <w:color w:val="auto"/>
          <w:spacing w:val="0"/>
          <w:kern w:val="0"/>
          <w:sz w:val="21"/>
          <w:szCs w:val="21"/>
          <w:highlight w:val="none"/>
          <w:lang w:val="en-US" w:eastAsia="en-US" w:bidi="ar-SA"/>
        </w:rPr>
        <w:t>每笔款项支付前，中标人应向实际开展业务委托的招标人（或招标人的权属子公司）提交该付费周期内单项造价咨询服务项目工作量清单</w:t>
      </w:r>
      <w:r>
        <w:rPr>
          <w:rFonts w:hint="eastAsia" w:ascii="宋体" w:hAnsi="宋体" w:eastAsia="宋体" w:cs="宋体"/>
          <w:snapToGrid w:val="0"/>
          <w:color w:val="auto"/>
          <w:spacing w:val="0"/>
          <w:kern w:val="0"/>
          <w:sz w:val="21"/>
          <w:szCs w:val="21"/>
          <w:highlight w:val="none"/>
          <w:lang w:val="en-US" w:eastAsia="zh-CN" w:bidi="ar-SA"/>
        </w:rPr>
        <w:t>/成果文件</w:t>
      </w:r>
      <w:r>
        <w:rPr>
          <w:rFonts w:hint="eastAsia" w:ascii="宋体" w:hAnsi="宋体" w:eastAsia="宋体" w:cs="宋体"/>
          <w:snapToGrid w:val="0"/>
          <w:color w:val="auto"/>
          <w:spacing w:val="0"/>
          <w:kern w:val="0"/>
          <w:sz w:val="21"/>
          <w:szCs w:val="21"/>
          <w:highlight w:val="none"/>
          <w:lang w:val="en-US" w:eastAsia="en-US" w:bidi="ar-SA"/>
        </w:rPr>
        <w:t>及对应的结算资料、请款报告及</w:t>
      </w:r>
      <w:r>
        <w:rPr>
          <w:rFonts w:hint="eastAsia" w:ascii="宋体" w:hAnsi="宋体" w:eastAsia="宋体" w:cs="宋体"/>
          <w:color w:val="auto"/>
          <w:kern w:val="2"/>
          <w:sz w:val="21"/>
          <w:szCs w:val="21"/>
          <w:highlight w:val="none"/>
          <w:lang w:val="en-US" w:eastAsia="zh-CN" w:bidi="ar"/>
        </w:rPr>
        <w:t>请款金额等额的合法、有效</w:t>
      </w:r>
      <w:r>
        <w:rPr>
          <w:rFonts w:hint="eastAsia" w:ascii="宋体" w:hAnsi="宋体" w:eastAsia="宋体" w:cs="宋体"/>
          <w:snapToGrid w:val="0"/>
          <w:color w:val="auto"/>
          <w:spacing w:val="0"/>
          <w:kern w:val="0"/>
          <w:sz w:val="21"/>
          <w:szCs w:val="21"/>
          <w:highlight w:val="none"/>
          <w:lang w:val="en-US" w:eastAsia="en-US" w:bidi="ar-SA"/>
        </w:rPr>
        <w:t>的增值税</w:t>
      </w:r>
      <w:r>
        <w:rPr>
          <w:rFonts w:hint="eastAsia" w:ascii="宋体" w:hAnsi="宋体" w:eastAsia="宋体" w:cs="宋体"/>
          <w:snapToGrid w:val="0"/>
          <w:color w:val="auto"/>
          <w:spacing w:val="0"/>
          <w:kern w:val="0"/>
          <w:sz w:val="21"/>
          <w:szCs w:val="21"/>
          <w:highlight w:val="none"/>
          <w:lang w:val="en-US" w:eastAsia="zh-CN" w:bidi="ar-SA"/>
        </w:rPr>
        <w:t>专用</w:t>
      </w:r>
      <w:r>
        <w:rPr>
          <w:rFonts w:hint="eastAsia" w:ascii="宋体" w:hAnsi="宋体" w:eastAsia="宋体" w:cs="宋体"/>
          <w:snapToGrid w:val="0"/>
          <w:color w:val="auto"/>
          <w:spacing w:val="0"/>
          <w:kern w:val="0"/>
          <w:sz w:val="21"/>
          <w:szCs w:val="21"/>
          <w:highlight w:val="none"/>
          <w:lang w:val="en-US" w:eastAsia="en-US" w:bidi="ar-SA"/>
        </w:rPr>
        <w:t>发票，经招标人（或招标人的权属子公司）确认无误后30</w:t>
      </w:r>
      <w:r>
        <w:rPr>
          <w:rFonts w:hint="eastAsia" w:ascii="宋体" w:hAnsi="宋体" w:eastAsia="宋体" w:cs="宋体"/>
          <w:snapToGrid w:val="0"/>
          <w:color w:val="auto"/>
          <w:spacing w:val="0"/>
          <w:kern w:val="0"/>
          <w:sz w:val="21"/>
          <w:szCs w:val="21"/>
          <w:highlight w:val="none"/>
          <w:lang w:val="en-US" w:eastAsia="zh-CN" w:bidi="ar-SA"/>
        </w:rPr>
        <w:t>日</w:t>
      </w:r>
      <w:r>
        <w:rPr>
          <w:rFonts w:hint="eastAsia" w:ascii="宋体" w:hAnsi="宋体" w:eastAsia="宋体" w:cs="宋体"/>
          <w:snapToGrid w:val="0"/>
          <w:color w:val="auto"/>
          <w:spacing w:val="0"/>
          <w:kern w:val="0"/>
          <w:sz w:val="21"/>
          <w:szCs w:val="21"/>
          <w:highlight w:val="none"/>
          <w:lang w:val="en-US" w:eastAsia="en-US" w:bidi="ar-SA"/>
        </w:rPr>
        <w:t>内支付相关费用。中标人逾期提交请款材料</w:t>
      </w:r>
      <w:r>
        <w:rPr>
          <w:rFonts w:hint="eastAsia" w:ascii="宋体" w:hAnsi="宋体" w:eastAsia="宋体" w:cs="宋体"/>
          <w:color w:val="auto"/>
          <w:kern w:val="2"/>
          <w:sz w:val="21"/>
          <w:szCs w:val="21"/>
          <w:highlight w:val="none"/>
          <w:lang w:val="en-US" w:eastAsia="zh-CN" w:bidi="ar"/>
        </w:rPr>
        <w:t>、发票或提交请款材料、发票</w:t>
      </w:r>
      <w:r>
        <w:rPr>
          <w:rFonts w:hint="eastAsia" w:ascii="宋体" w:hAnsi="宋体" w:eastAsia="宋体" w:cs="宋体"/>
          <w:snapToGrid w:val="0"/>
          <w:color w:val="auto"/>
          <w:spacing w:val="0"/>
          <w:kern w:val="0"/>
          <w:sz w:val="21"/>
          <w:szCs w:val="21"/>
          <w:highlight w:val="none"/>
          <w:lang w:val="en-US" w:eastAsia="en-US" w:bidi="ar-SA"/>
        </w:rPr>
        <w:t>不符合招标人（或招标人的权属子公司）要求的，招标人（或招标人的权属子公司）有权顺延支付相应款项，并不承担逾期付款的违约责任，由于中标人提供的发票不符合税法规定，给招标人（或招标人的权属子公司）造成的损失由中标人承担赔偿责任，中标人不得以此延迟而拒绝履行合同义务</w:t>
      </w:r>
      <w:r>
        <w:rPr>
          <w:rFonts w:hint="eastAsia" w:ascii="宋体" w:hAnsi="宋体" w:eastAsia="宋体" w:cs="宋体"/>
          <w:snapToGrid w:val="0"/>
          <w:color w:val="auto"/>
          <w:spacing w:val="0"/>
          <w:kern w:val="0"/>
          <w:sz w:val="21"/>
          <w:szCs w:val="21"/>
          <w:highlight w:val="none"/>
          <w:lang w:val="en-US" w:eastAsia="zh-CN" w:bidi="ar-SA"/>
        </w:rPr>
        <w:t>。</w:t>
      </w:r>
    </w:p>
    <w:p w14:paraId="26C0DC0B">
      <w:pPr>
        <w:keepNext w:val="0"/>
        <w:keepLines w:val="0"/>
        <w:pageBreakBefore w:val="0"/>
        <w:widowControl/>
        <w:kinsoku/>
        <w:wordWrap/>
        <w:overflowPunct/>
        <w:topLinePunct/>
        <w:autoSpaceDE/>
        <w:autoSpaceDN/>
        <w:bidi w:val="0"/>
        <w:adjustRightInd w:val="0"/>
        <w:snapToGrid w:val="0"/>
        <w:spacing w:line="360" w:lineRule="auto"/>
        <w:ind w:left="442"/>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bookmarkStart w:id="422" w:name="_Toc22353"/>
      <w:r>
        <w:rPr>
          <w:rFonts w:hint="eastAsia" w:ascii="宋体" w:hAnsi="宋体" w:eastAsia="宋体" w:cs="宋体"/>
          <w:b/>
          <w:bCs/>
          <w:snapToGrid w:val="0"/>
          <w:color w:val="auto"/>
          <w:spacing w:val="0"/>
          <w:kern w:val="0"/>
          <w:sz w:val="21"/>
          <w:szCs w:val="21"/>
          <w:highlight w:val="none"/>
          <w:lang w:val="en-US" w:eastAsia="zh-CN" w:bidi="ar-SA"/>
        </w:rPr>
        <w:t>四</w:t>
      </w:r>
      <w:r>
        <w:rPr>
          <w:rFonts w:hint="eastAsia" w:ascii="宋体" w:hAnsi="宋体" w:eastAsia="宋体" w:cs="宋体"/>
          <w:b/>
          <w:bCs/>
          <w:snapToGrid w:val="0"/>
          <w:color w:val="auto"/>
          <w:spacing w:val="0"/>
          <w:kern w:val="0"/>
          <w:sz w:val="21"/>
          <w:szCs w:val="21"/>
          <w:highlight w:val="none"/>
          <w:lang w:val="en-US" w:eastAsia="en-US" w:bidi="ar-SA"/>
        </w:rPr>
        <w:t>、</w:t>
      </w:r>
      <w:bookmarkEnd w:id="422"/>
      <w:r>
        <w:rPr>
          <w:rFonts w:hint="eastAsia" w:ascii="宋体" w:hAnsi="宋体" w:eastAsia="宋体" w:cs="宋体"/>
          <w:b/>
          <w:bCs/>
          <w:snapToGrid w:val="0"/>
          <w:color w:val="auto"/>
          <w:spacing w:val="0"/>
          <w:kern w:val="0"/>
          <w:sz w:val="21"/>
          <w:szCs w:val="21"/>
          <w:highlight w:val="none"/>
          <w:lang w:val="en-US" w:eastAsia="en-US" w:bidi="ar-SA"/>
        </w:rPr>
        <w:t>成果文件交付期限及要求</w:t>
      </w:r>
    </w:p>
    <w:p w14:paraId="499827BE">
      <w:pPr>
        <w:keepNext w:val="0"/>
        <w:keepLines w:val="0"/>
        <w:pageBreakBefore w:val="0"/>
        <w:widowControl/>
        <w:kinsoku/>
        <w:wordWrap/>
        <w:overflowPunct/>
        <w:topLinePunct/>
        <w:autoSpaceDE/>
        <w:autoSpaceDN/>
        <w:bidi w:val="0"/>
        <w:adjustRightInd w:val="0"/>
        <w:snapToGrid w:val="0"/>
        <w:spacing w:line="360" w:lineRule="auto"/>
        <w:ind w:left="69" w:right="522" w:firstLine="369"/>
        <w:jc w:val="both"/>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bookmarkStart w:id="423" w:name="_Toc25123"/>
      <w:r>
        <w:rPr>
          <w:rFonts w:hint="eastAsia" w:ascii="宋体" w:hAnsi="宋体" w:eastAsia="宋体" w:cs="宋体"/>
          <w:snapToGrid w:val="0"/>
          <w:color w:val="auto"/>
          <w:spacing w:val="0"/>
          <w:kern w:val="0"/>
          <w:sz w:val="21"/>
          <w:szCs w:val="21"/>
          <w:highlight w:val="none"/>
          <w:lang w:val="en-US" w:eastAsia="zh-CN" w:bidi="ar-SA"/>
        </w:rPr>
        <w:t>4</w:t>
      </w:r>
      <w:r>
        <w:rPr>
          <w:rFonts w:hint="eastAsia" w:ascii="宋体" w:hAnsi="宋体" w:eastAsia="宋体" w:cs="宋体"/>
          <w:snapToGrid w:val="0"/>
          <w:color w:val="auto"/>
          <w:spacing w:val="0"/>
          <w:kern w:val="0"/>
          <w:sz w:val="21"/>
          <w:szCs w:val="21"/>
          <w:highlight w:val="none"/>
          <w:lang w:val="en-US" w:eastAsia="en-US" w:bidi="ar-SA"/>
        </w:rPr>
        <w:t>.</w:t>
      </w:r>
      <w:r>
        <w:rPr>
          <w:rFonts w:hint="default" w:ascii="宋体" w:hAnsi="宋体" w:eastAsia="宋体" w:cs="宋体"/>
          <w:snapToGrid w:val="0"/>
          <w:color w:val="auto"/>
          <w:spacing w:val="0"/>
          <w:kern w:val="0"/>
          <w:sz w:val="21"/>
          <w:szCs w:val="21"/>
          <w:highlight w:val="none"/>
          <w:lang w:val="en-US" w:eastAsia="en-US" w:bidi="ar-SA"/>
        </w:rPr>
        <w:t>1</w:t>
      </w:r>
      <w:r>
        <w:rPr>
          <w:rFonts w:hint="eastAsia" w:ascii="宋体" w:hAnsi="宋体" w:eastAsia="宋体" w:cs="宋体"/>
          <w:snapToGrid w:val="0"/>
          <w:color w:val="auto"/>
          <w:spacing w:val="0"/>
          <w:kern w:val="0"/>
          <w:sz w:val="21"/>
          <w:szCs w:val="21"/>
          <w:highlight w:val="none"/>
          <w:lang w:val="en-US" w:eastAsia="en-US" w:bidi="ar-SA"/>
        </w:rPr>
        <w:t xml:space="preserve"> </w:t>
      </w:r>
      <w:r>
        <w:rPr>
          <w:rFonts w:hint="eastAsia" w:ascii="宋体" w:hAnsi="宋体" w:eastAsia="宋体" w:cs="宋体"/>
          <w:snapToGrid w:val="0"/>
          <w:color w:val="auto"/>
          <w:spacing w:val="0"/>
          <w:kern w:val="0"/>
          <w:sz w:val="21"/>
          <w:szCs w:val="21"/>
          <w:highlight w:val="none"/>
          <w:lang w:val="en-US" w:eastAsia="zh-CN" w:bidi="ar-SA"/>
        </w:rPr>
        <w:t>单项造价咨询服务完成时间要求，具体如下：</w:t>
      </w:r>
      <w:bookmarkEnd w:id="423"/>
    </w:p>
    <w:tbl>
      <w:tblPr>
        <w:tblStyle w:val="38"/>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556"/>
        <w:gridCol w:w="1240"/>
        <w:gridCol w:w="1240"/>
        <w:gridCol w:w="1240"/>
        <w:gridCol w:w="2545"/>
        <w:gridCol w:w="851"/>
        <w:gridCol w:w="851"/>
      </w:tblGrid>
      <w:tr w14:paraId="2E87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72" w:type="dxa"/>
            <w:tcBorders>
              <w:bottom w:val="single" w:color="auto" w:sz="4" w:space="0"/>
              <w:right w:val="single" w:color="auto" w:sz="4" w:space="0"/>
            </w:tcBorders>
            <w:vAlign w:val="center"/>
          </w:tcPr>
          <w:p w14:paraId="7061821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序号</w:t>
            </w:r>
          </w:p>
        </w:tc>
        <w:tc>
          <w:tcPr>
            <w:tcW w:w="1556" w:type="dxa"/>
            <w:tcBorders>
              <w:left w:val="nil"/>
              <w:bottom w:val="single" w:color="auto" w:sz="4" w:space="0"/>
              <w:right w:val="single" w:color="auto" w:sz="4" w:space="0"/>
            </w:tcBorders>
            <w:vAlign w:val="center"/>
          </w:tcPr>
          <w:p w14:paraId="6CA17B6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金额（万元）</w:t>
            </w:r>
          </w:p>
        </w:tc>
        <w:tc>
          <w:tcPr>
            <w:tcW w:w="1240" w:type="dxa"/>
            <w:tcBorders>
              <w:left w:val="nil"/>
              <w:bottom w:val="single" w:color="auto" w:sz="4" w:space="0"/>
              <w:right w:val="single" w:color="auto" w:sz="4" w:space="0"/>
            </w:tcBorders>
            <w:vAlign w:val="center"/>
          </w:tcPr>
          <w:p w14:paraId="1031867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投资估算审核</w:t>
            </w:r>
          </w:p>
        </w:tc>
        <w:tc>
          <w:tcPr>
            <w:tcW w:w="1240" w:type="dxa"/>
            <w:tcBorders>
              <w:left w:val="nil"/>
              <w:bottom w:val="single" w:color="auto" w:sz="4" w:space="0"/>
              <w:right w:val="single" w:color="auto" w:sz="4" w:space="0"/>
            </w:tcBorders>
            <w:vAlign w:val="center"/>
          </w:tcPr>
          <w:p w14:paraId="77FA7C2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初设概算审核</w:t>
            </w:r>
          </w:p>
        </w:tc>
        <w:tc>
          <w:tcPr>
            <w:tcW w:w="1240" w:type="dxa"/>
            <w:tcBorders>
              <w:left w:val="nil"/>
              <w:bottom w:val="single" w:color="auto" w:sz="4" w:space="0"/>
              <w:right w:val="single" w:color="auto" w:sz="4" w:space="0"/>
            </w:tcBorders>
            <w:vAlign w:val="center"/>
          </w:tcPr>
          <w:p w14:paraId="5A41BBF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招标控制价编制</w:t>
            </w:r>
          </w:p>
        </w:tc>
        <w:tc>
          <w:tcPr>
            <w:tcW w:w="2545" w:type="dxa"/>
            <w:tcBorders>
              <w:left w:val="nil"/>
              <w:bottom w:val="single" w:color="auto" w:sz="4" w:space="0"/>
              <w:right w:val="single" w:color="auto" w:sz="4" w:space="0"/>
            </w:tcBorders>
            <w:vAlign w:val="center"/>
          </w:tcPr>
          <w:p w14:paraId="530EF08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szCs w:val="21"/>
                <w:highlight w:val="none"/>
                <w:lang w:eastAsia="en-US"/>
              </w:rPr>
              <w:t>施工图预算、变更预算、工程结算审核</w:t>
            </w: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lang w:val="en-US" w:eastAsia="zh-CN"/>
              </w:rPr>
              <w:t>或编制</w:t>
            </w:r>
            <w:r>
              <w:rPr>
                <w:rFonts w:hint="eastAsia" w:ascii="宋体" w:hAnsi="宋体" w:eastAsia="宋体" w:cs="宋体"/>
                <w:snapToGrid w:val="0"/>
                <w:color w:val="auto"/>
                <w:spacing w:val="0"/>
                <w:kern w:val="0"/>
                <w:sz w:val="21"/>
                <w:szCs w:val="21"/>
                <w:highlight w:val="none"/>
                <w:lang w:eastAsia="zh-CN"/>
              </w:rPr>
              <w:t>）</w:t>
            </w:r>
          </w:p>
        </w:tc>
        <w:tc>
          <w:tcPr>
            <w:tcW w:w="851" w:type="dxa"/>
            <w:tcBorders>
              <w:left w:val="nil"/>
              <w:bottom w:val="single" w:color="auto" w:sz="4" w:space="0"/>
            </w:tcBorders>
            <w:vAlign w:val="center"/>
          </w:tcPr>
          <w:p w14:paraId="714475F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工程款支付审核</w:t>
            </w:r>
          </w:p>
        </w:tc>
        <w:tc>
          <w:tcPr>
            <w:tcW w:w="851" w:type="dxa"/>
            <w:tcBorders>
              <w:left w:val="nil"/>
              <w:bottom w:val="single" w:color="auto" w:sz="4" w:space="0"/>
            </w:tcBorders>
            <w:vAlign w:val="center"/>
          </w:tcPr>
          <w:p w14:paraId="208E2A2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货物采购、服务</w:t>
            </w:r>
            <w:r>
              <w:rPr>
                <w:rFonts w:hint="default" w:ascii="宋体" w:hAnsi="宋体" w:eastAsia="宋体" w:cs="宋体"/>
                <w:snapToGrid w:val="0"/>
                <w:color w:val="auto"/>
                <w:spacing w:val="0"/>
                <w:kern w:val="0"/>
                <w:sz w:val="21"/>
                <w:szCs w:val="21"/>
                <w:highlight w:val="none"/>
                <w:lang w:val="en-US" w:eastAsia="en-US"/>
              </w:rPr>
              <w:t>类</w:t>
            </w:r>
            <w:r>
              <w:rPr>
                <w:rFonts w:hint="eastAsia" w:ascii="宋体" w:hAnsi="宋体" w:eastAsia="宋体" w:cs="宋体"/>
                <w:snapToGrid w:val="0"/>
                <w:color w:val="auto"/>
                <w:spacing w:val="0"/>
                <w:kern w:val="0"/>
                <w:sz w:val="21"/>
                <w:szCs w:val="21"/>
                <w:highlight w:val="none"/>
                <w:lang w:eastAsia="en-US"/>
              </w:rPr>
              <w:t>项目预算</w:t>
            </w: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lang w:val="en-US" w:eastAsia="zh-CN"/>
              </w:rPr>
              <w:t>招标控制价</w:t>
            </w:r>
            <w:r>
              <w:rPr>
                <w:rFonts w:hint="eastAsia" w:ascii="宋体" w:hAnsi="宋体" w:eastAsia="宋体" w:cs="宋体"/>
                <w:snapToGrid w:val="0"/>
                <w:color w:val="auto"/>
                <w:spacing w:val="0"/>
                <w:kern w:val="0"/>
                <w:sz w:val="21"/>
                <w:szCs w:val="21"/>
                <w:highlight w:val="none"/>
                <w:lang w:eastAsia="zh-CN"/>
              </w:rPr>
              <w:t>）</w:t>
            </w:r>
            <w:r>
              <w:rPr>
                <w:rFonts w:hint="eastAsia" w:ascii="宋体" w:hAnsi="宋体" w:eastAsia="宋体" w:cs="宋体"/>
                <w:snapToGrid w:val="0"/>
                <w:color w:val="auto"/>
                <w:spacing w:val="0"/>
                <w:kern w:val="0"/>
                <w:sz w:val="21"/>
                <w:szCs w:val="21"/>
                <w:highlight w:val="none"/>
                <w:lang w:eastAsia="en-US"/>
              </w:rPr>
              <w:t>编审</w:t>
            </w:r>
          </w:p>
        </w:tc>
      </w:tr>
      <w:tr w14:paraId="105C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bottom w:val="single" w:color="auto" w:sz="4" w:space="0"/>
              <w:right w:val="single" w:color="auto" w:sz="4" w:space="0"/>
            </w:tcBorders>
            <w:vAlign w:val="center"/>
          </w:tcPr>
          <w:p w14:paraId="3E830F7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w:t>
            </w:r>
          </w:p>
        </w:tc>
        <w:tc>
          <w:tcPr>
            <w:tcW w:w="1556" w:type="dxa"/>
            <w:tcBorders>
              <w:top w:val="single" w:color="auto" w:sz="4" w:space="0"/>
              <w:left w:val="nil"/>
              <w:bottom w:val="single" w:color="auto" w:sz="4" w:space="0"/>
              <w:right w:val="single" w:color="auto" w:sz="4" w:space="0"/>
            </w:tcBorders>
            <w:vAlign w:val="center"/>
          </w:tcPr>
          <w:p w14:paraId="22188F5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500以内</w:t>
            </w:r>
          </w:p>
        </w:tc>
        <w:tc>
          <w:tcPr>
            <w:tcW w:w="1240" w:type="dxa"/>
            <w:vMerge w:val="restart"/>
            <w:tcBorders>
              <w:top w:val="nil"/>
              <w:left w:val="nil"/>
              <w:right w:val="single" w:color="auto" w:sz="4" w:space="0"/>
            </w:tcBorders>
            <w:vAlign w:val="center"/>
          </w:tcPr>
          <w:p w14:paraId="46C0596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val="en-US" w:eastAsia="zh-CN"/>
              </w:rPr>
            </w:pPr>
          </w:p>
          <w:p w14:paraId="08FFF47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szCs w:val="21"/>
                <w:highlight w:val="none"/>
                <w:lang w:val="en-US" w:eastAsia="zh-CN"/>
              </w:rPr>
              <w:t>10工作日</w:t>
            </w:r>
          </w:p>
        </w:tc>
        <w:tc>
          <w:tcPr>
            <w:tcW w:w="1240" w:type="dxa"/>
            <w:tcBorders>
              <w:top w:val="single" w:color="auto" w:sz="4" w:space="0"/>
              <w:left w:val="nil"/>
              <w:bottom w:val="single" w:color="auto" w:sz="4" w:space="0"/>
              <w:right w:val="single" w:color="auto" w:sz="4" w:space="0"/>
            </w:tcBorders>
            <w:vAlign w:val="center"/>
          </w:tcPr>
          <w:p w14:paraId="29022CA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10</w:t>
            </w:r>
            <w:r>
              <w:rPr>
                <w:rFonts w:hint="eastAsia" w:ascii="宋体" w:hAnsi="宋体" w:eastAsia="宋体" w:cs="宋体"/>
                <w:snapToGrid w:val="0"/>
                <w:color w:val="auto"/>
                <w:spacing w:val="0"/>
                <w:kern w:val="0"/>
                <w:sz w:val="21"/>
                <w:szCs w:val="21"/>
                <w:highlight w:val="none"/>
                <w:lang w:eastAsia="en-US"/>
              </w:rPr>
              <w:t>工作日</w:t>
            </w:r>
          </w:p>
        </w:tc>
        <w:tc>
          <w:tcPr>
            <w:tcW w:w="1240" w:type="dxa"/>
            <w:tcBorders>
              <w:top w:val="single" w:color="auto" w:sz="4" w:space="0"/>
              <w:left w:val="nil"/>
              <w:bottom w:val="single" w:color="auto" w:sz="4" w:space="0"/>
              <w:right w:val="single" w:color="auto" w:sz="4" w:space="0"/>
            </w:tcBorders>
            <w:vAlign w:val="center"/>
          </w:tcPr>
          <w:p w14:paraId="6F0AC7F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8</w:t>
            </w:r>
            <w:r>
              <w:rPr>
                <w:rFonts w:hint="eastAsia" w:ascii="宋体" w:hAnsi="宋体" w:eastAsia="宋体" w:cs="宋体"/>
                <w:snapToGrid w:val="0"/>
                <w:color w:val="auto"/>
                <w:spacing w:val="0"/>
                <w:kern w:val="0"/>
                <w:sz w:val="21"/>
                <w:szCs w:val="21"/>
                <w:highlight w:val="none"/>
                <w:lang w:eastAsia="en-US"/>
              </w:rPr>
              <w:t>工作日</w:t>
            </w:r>
          </w:p>
        </w:tc>
        <w:tc>
          <w:tcPr>
            <w:tcW w:w="2545" w:type="dxa"/>
            <w:tcBorders>
              <w:top w:val="single" w:color="auto" w:sz="4" w:space="0"/>
              <w:left w:val="nil"/>
              <w:bottom w:val="single" w:color="auto" w:sz="4" w:space="0"/>
              <w:right w:val="single" w:color="auto" w:sz="4" w:space="0"/>
            </w:tcBorders>
            <w:vAlign w:val="center"/>
          </w:tcPr>
          <w:p w14:paraId="442E87A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15</w:t>
            </w:r>
            <w:r>
              <w:rPr>
                <w:rFonts w:hint="eastAsia" w:ascii="宋体" w:hAnsi="宋体" w:eastAsia="宋体" w:cs="宋体"/>
                <w:snapToGrid w:val="0"/>
                <w:color w:val="auto"/>
                <w:spacing w:val="0"/>
                <w:kern w:val="0"/>
                <w:sz w:val="21"/>
                <w:szCs w:val="21"/>
                <w:highlight w:val="none"/>
                <w:lang w:eastAsia="en-US"/>
              </w:rPr>
              <w:t>工作日</w:t>
            </w:r>
          </w:p>
        </w:tc>
        <w:tc>
          <w:tcPr>
            <w:tcW w:w="851" w:type="dxa"/>
            <w:vMerge w:val="restart"/>
            <w:tcBorders>
              <w:top w:val="single" w:color="auto" w:sz="4" w:space="0"/>
              <w:left w:val="nil"/>
            </w:tcBorders>
            <w:vAlign w:val="center"/>
          </w:tcPr>
          <w:p w14:paraId="5472A7D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2工作日</w:t>
            </w:r>
          </w:p>
        </w:tc>
        <w:tc>
          <w:tcPr>
            <w:tcW w:w="851" w:type="dxa"/>
            <w:vMerge w:val="restart"/>
            <w:tcBorders>
              <w:top w:val="single" w:color="auto" w:sz="4" w:space="0"/>
              <w:left w:val="nil"/>
            </w:tcBorders>
            <w:vAlign w:val="center"/>
          </w:tcPr>
          <w:p w14:paraId="0CEB028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szCs w:val="21"/>
                <w:highlight w:val="none"/>
                <w:lang w:val="en-US" w:eastAsia="zh-CN"/>
              </w:rPr>
              <w:t>10工作日</w:t>
            </w:r>
          </w:p>
        </w:tc>
      </w:tr>
      <w:tr w14:paraId="7942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bottom w:val="single" w:color="auto" w:sz="4" w:space="0"/>
              <w:right w:val="single" w:color="auto" w:sz="4" w:space="0"/>
            </w:tcBorders>
            <w:vAlign w:val="center"/>
          </w:tcPr>
          <w:p w14:paraId="3EB7231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2</w:t>
            </w:r>
          </w:p>
        </w:tc>
        <w:tc>
          <w:tcPr>
            <w:tcW w:w="1556" w:type="dxa"/>
            <w:tcBorders>
              <w:top w:val="single" w:color="auto" w:sz="4" w:space="0"/>
              <w:left w:val="nil"/>
              <w:bottom w:val="single" w:color="auto" w:sz="4" w:space="0"/>
              <w:right w:val="single" w:color="auto" w:sz="4" w:space="0"/>
            </w:tcBorders>
            <w:vAlign w:val="center"/>
          </w:tcPr>
          <w:p w14:paraId="21700E6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500-2500</w:t>
            </w:r>
          </w:p>
        </w:tc>
        <w:tc>
          <w:tcPr>
            <w:tcW w:w="1240" w:type="dxa"/>
            <w:vMerge w:val="continue"/>
            <w:tcBorders>
              <w:left w:val="nil"/>
              <w:right w:val="single" w:color="auto" w:sz="4" w:space="0"/>
            </w:tcBorders>
            <w:vAlign w:val="center"/>
          </w:tcPr>
          <w:p w14:paraId="2FD817D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val="en-US" w:eastAsia="zh-CN"/>
              </w:rPr>
            </w:pPr>
          </w:p>
        </w:tc>
        <w:tc>
          <w:tcPr>
            <w:tcW w:w="1240" w:type="dxa"/>
            <w:vMerge w:val="restart"/>
            <w:tcBorders>
              <w:top w:val="nil"/>
              <w:left w:val="nil"/>
              <w:bottom w:val="single" w:color="auto" w:sz="4" w:space="0"/>
              <w:right w:val="single" w:color="auto" w:sz="4" w:space="0"/>
            </w:tcBorders>
            <w:vAlign w:val="center"/>
          </w:tcPr>
          <w:p w14:paraId="578D2BA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15工作日</w:t>
            </w:r>
          </w:p>
        </w:tc>
        <w:tc>
          <w:tcPr>
            <w:tcW w:w="1240" w:type="dxa"/>
            <w:tcBorders>
              <w:top w:val="single" w:color="auto" w:sz="4" w:space="0"/>
              <w:left w:val="nil"/>
              <w:bottom w:val="single" w:color="auto" w:sz="4" w:space="0"/>
              <w:right w:val="single" w:color="auto" w:sz="4" w:space="0"/>
            </w:tcBorders>
            <w:vAlign w:val="center"/>
          </w:tcPr>
          <w:p w14:paraId="0CDF865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10工作日</w:t>
            </w:r>
          </w:p>
        </w:tc>
        <w:tc>
          <w:tcPr>
            <w:tcW w:w="2545" w:type="dxa"/>
            <w:tcBorders>
              <w:top w:val="single" w:color="auto" w:sz="4" w:space="0"/>
              <w:left w:val="nil"/>
              <w:bottom w:val="single" w:color="auto" w:sz="4" w:space="0"/>
              <w:right w:val="single" w:color="auto" w:sz="4" w:space="0"/>
            </w:tcBorders>
            <w:vAlign w:val="center"/>
          </w:tcPr>
          <w:p w14:paraId="05FDE74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18</w:t>
            </w:r>
            <w:r>
              <w:rPr>
                <w:rFonts w:hint="eastAsia" w:ascii="宋体" w:hAnsi="宋体" w:eastAsia="宋体" w:cs="宋体"/>
                <w:snapToGrid w:val="0"/>
                <w:color w:val="auto"/>
                <w:spacing w:val="0"/>
                <w:kern w:val="0"/>
                <w:sz w:val="21"/>
                <w:szCs w:val="21"/>
                <w:highlight w:val="none"/>
                <w:lang w:eastAsia="en-US"/>
              </w:rPr>
              <w:t>工作日</w:t>
            </w:r>
          </w:p>
        </w:tc>
        <w:tc>
          <w:tcPr>
            <w:tcW w:w="851" w:type="dxa"/>
            <w:vMerge w:val="continue"/>
            <w:tcBorders>
              <w:left w:val="nil"/>
            </w:tcBorders>
          </w:tcPr>
          <w:p w14:paraId="474EF75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c>
          <w:tcPr>
            <w:tcW w:w="851" w:type="dxa"/>
            <w:vMerge w:val="continue"/>
            <w:tcBorders>
              <w:left w:val="nil"/>
            </w:tcBorders>
          </w:tcPr>
          <w:p w14:paraId="69909CB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r>
      <w:tr w14:paraId="5CA8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bottom w:val="single" w:color="auto" w:sz="4" w:space="0"/>
              <w:right w:val="single" w:color="auto" w:sz="4" w:space="0"/>
            </w:tcBorders>
            <w:vAlign w:val="center"/>
          </w:tcPr>
          <w:p w14:paraId="196B9BB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3</w:t>
            </w:r>
          </w:p>
        </w:tc>
        <w:tc>
          <w:tcPr>
            <w:tcW w:w="1556" w:type="dxa"/>
            <w:tcBorders>
              <w:top w:val="single" w:color="auto" w:sz="4" w:space="0"/>
              <w:left w:val="nil"/>
              <w:bottom w:val="single" w:color="auto" w:sz="4" w:space="0"/>
              <w:right w:val="single" w:color="auto" w:sz="4" w:space="0"/>
            </w:tcBorders>
            <w:vAlign w:val="center"/>
          </w:tcPr>
          <w:p w14:paraId="78C0401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2500-5000</w:t>
            </w:r>
          </w:p>
        </w:tc>
        <w:tc>
          <w:tcPr>
            <w:tcW w:w="1240" w:type="dxa"/>
            <w:vMerge w:val="continue"/>
            <w:tcBorders>
              <w:left w:val="nil"/>
              <w:right w:val="single" w:color="auto" w:sz="4" w:space="0"/>
            </w:tcBorders>
            <w:vAlign w:val="center"/>
          </w:tcPr>
          <w:p w14:paraId="732C355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c>
          <w:tcPr>
            <w:tcW w:w="1240" w:type="dxa"/>
            <w:vMerge w:val="continue"/>
            <w:tcBorders>
              <w:top w:val="nil"/>
              <w:left w:val="nil"/>
              <w:bottom w:val="single" w:color="auto" w:sz="4" w:space="0"/>
              <w:right w:val="single" w:color="auto" w:sz="4" w:space="0"/>
            </w:tcBorders>
            <w:vAlign w:val="center"/>
          </w:tcPr>
          <w:p w14:paraId="344F992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c>
          <w:tcPr>
            <w:tcW w:w="1240" w:type="dxa"/>
            <w:tcBorders>
              <w:top w:val="single" w:color="auto" w:sz="4" w:space="0"/>
              <w:left w:val="nil"/>
              <w:bottom w:val="single" w:color="auto" w:sz="4" w:space="0"/>
              <w:right w:val="single" w:color="auto" w:sz="4" w:space="0"/>
            </w:tcBorders>
            <w:vAlign w:val="center"/>
          </w:tcPr>
          <w:p w14:paraId="4FF6DD9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12工作日</w:t>
            </w:r>
          </w:p>
        </w:tc>
        <w:tc>
          <w:tcPr>
            <w:tcW w:w="2545" w:type="dxa"/>
            <w:tcBorders>
              <w:top w:val="single" w:color="auto" w:sz="4" w:space="0"/>
              <w:left w:val="nil"/>
              <w:bottom w:val="single" w:color="auto" w:sz="4" w:space="0"/>
              <w:right w:val="single" w:color="auto" w:sz="4" w:space="0"/>
            </w:tcBorders>
            <w:vAlign w:val="center"/>
          </w:tcPr>
          <w:p w14:paraId="45A5196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20</w:t>
            </w:r>
            <w:r>
              <w:rPr>
                <w:rFonts w:hint="eastAsia" w:ascii="宋体" w:hAnsi="宋体" w:eastAsia="宋体" w:cs="宋体"/>
                <w:snapToGrid w:val="0"/>
                <w:color w:val="auto"/>
                <w:spacing w:val="0"/>
                <w:kern w:val="0"/>
                <w:sz w:val="21"/>
                <w:szCs w:val="21"/>
                <w:highlight w:val="none"/>
                <w:lang w:eastAsia="en-US"/>
              </w:rPr>
              <w:t>工作日</w:t>
            </w:r>
          </w:p>
        </w:tc>
        <w:tc>
          <w:tcPr>
            <w:tcW w:w="851" w:type="dxa"/>
            <w:vMerge w:val="continue"/>
            <w:tcBorders>
              <w:left w:val="nil"/>
            </w:tcBorders>
          </w:tcPr>
          <w:p w14:paraId="22C58E1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c>
          <w:tcPr>
            <w:tcW w:w="851" w:type="dxa"/>
            <w:vMerge w:val="continue"/>
            <w:tcBorders>
              <w:left w:val="nil"/>
            </w:tcBorders>
          </w:tcPr>
          <w:p w14:paraId="0AA4001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r>
      <w:tr w14:paraId="3AA3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72" w:type="dxa"/>
            <w:tcBorders>
              <w:top w:val="single" w:color="auto" w:sz="4" w:space="0"/>
              <w:bottom w:val="single" w:color="auto" w:sz="4" w:space="0"/>
              <w:right w:val="single" w:color="auto" w:sz="4" w:space="0"/>
            </w:tcBorders>
            <w:vAlign w:val="center"/>
          </w:tcPr>
          <w:p w14:paraId="71B559A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4</w:t>
            </w:r>
          </w:p>
        </w:tc>
        <w:tc>
          <w:tcPr>
            <w:tcW w:w="1556" w:type="dxa"/>
            <w:tcBorders>
              <w:top w:val="single" w:color="auto" w:sz="4" w:space="0"/>
              <w:left w:val="nil"/>
              <w:bottom w:val="single" w:color="auto" w:sz="4" w:space="0"/>
              <w:right w:val="single" w:color="auto" w:sz="4" w:space="0"/>
            </w:tcBorders>
            <w:vAlign w:val="center"/>
          </w:tcPr>
          <w:p w14:paraId="2E9DF45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5000-10000</w:t>
            </w:r>
          </w:p>
        </w:tc>
        <w:tc>
          <w:tcPr>
            <w:tcW w:w="1240" w:type="dxa"/>
            <w:vMerge w:val="continue"/>
            <w:tcBorders>
              <w:left w:val="nil"/>
              <w:right w:val="single" w:color="auto" w:sz="4" w:space="0"/>
            </w:tcBorders>
            <w:vAlign w:val="center"/>
          </w:tcPr>
          <w:p w14:paraId="2FE0484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c>
          <w:tcPr>
            <w:tcW w:w="1240" w:type="dxa"/>
            <w:vMerge w:val="continue"/>
            <w:tcBorders>
              <w:top w:val="nil"/>
              <w:left w:val="nil"/>
              <w:bottom w:val="single" w:color="auto" w:sz="4" w:space="0"/>
              <w:right w:val="single" w:color="auto" w:sz="4" w:space="0"/>
            </w:tcBorders>
            <w:vAlign w:val="center"/>
          </w:tcPr>
          <w:p w14:paraId="18D909B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c>
          <w:tcPr>
            <w:tcW w:w="1240" w:type="dxa"/>
            <w:tcBorders>
              <w:top w:val="single" w:color="auto" w:sz="4" w:space="0"/>
              <w:left w:val="nil"/>
              <w:bottom w:val="single" w:color="auto" w:sz="4" w:space="0"/>
              <w:right w:val="single" w:color="auto" w:sz="4" w:space="0"/>
            </w:tcBorders>
            <w:vAlign w:val="center"/>
          </w:tcPr>
          <w:p w14:paraId="0357E62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16工作日</w:t>
            </w:r>
          </w:p>
        </w:tc>
        <w:tc>
          <w:tcPr>
            <w:tcW w:w="2545" w:type="dxa"/>
            <w:tcBorders>
              <w:top w:val="single" w:color="auto" w:sz="4" w:space="0"/>
              <w:left w:val="nil"/>
              <w:bottom w:val="single" w:color="auto" w:sz="4" w:space="0"/>
              <w:right w:val="single" w:color="auto" w:sz="4" w:space="0"/>
            </w:tcBorders>
            <w:vAlign w:val="center"/>
          </w:tcPr>
          <w:p w14:paraId="01B6F68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26</w:t>
            </w:r>
            <w:r>
              <w:rPr>
                <w:rFonts w:hint="eastAsia" w:ascii="宋体" w:hAnsi="宋体" w:eastAsia="宋体" w:cs="宋体"/>
                <w:snapToGrid w:val="0"/>
                <w:color w:val="auto"/>
                <w:spacing w:val="0"/>
                <w:kern w:val="0"/>
                <w:sz w:val="21"/>
                <w:szCs w:val="21"/>
                <w:highlight w:val="none"/>
                <w:lang w:eastAsia="en-US"/>
              </w:rPr>
              <w:t>工作日</w:t>
            </w:r>
          </w:p>
        </w:tc>
        <w:tc>
          <w:tcPr>
            <w:tcW w:w="851" w:type="dxa"/>
            <w:vMerge w:val="continue"/>
            <w:tcBorders>
              <w:left w:val="nil"/>
            </w:tcBorders>
          </w:tcPr>
          <w:p w14:paraId="21F538E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c>
          <w:tcPr>
            <w:tcW w:w="851" w:type="dxa"/>
            <w:vMerge w:val="continue"/>
            <w:tcBorders>
              <w:left w:val="nil"/>
            </w:tcBorders>
          </w:tcPr>
          <w:p w14:paraId="56DC143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r>
      <w:tr w14:paraId="7763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2" w:type="dxa"/>
            <w:tcBorders>
              <w:top w:val="single" w:color="auto" w:sz="4" w:space="0"/>
              <w:right w:val="single" w:color="auto" w:sz="4" w:space="0"/>
            </w:tcBorders>
            <w:vAlign w:val="center"/>
          </w:tcPr>
          <w:p w14:paraId="2801301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5</w:t>
            </w:r>
          </w:p>
        </w:tc>
        <w:tc>
          <w:tcPr>
            <w:tcW w:w="1556" w:type="dxa"/>
            <w:tcBorders>
              <w:top w:val="single" w:color="auto" w:sz="4" w:space="0"/>
              <w:left w:val="nil"/>
              <w:right w:val="single" w:color="auto" w:sz="4" w:space="0"/>
            </w:tcBorders>
            <w:vAlign w:val="center"/>
          </w:tcPr>
          <w:p w14:paraId="2F5C7A2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w:t>
            </w:r>
            <w:r>
              <w:rPr>
                <w:rFonts w:hint="eastAsia" w:ascii="宋体" w:hAnsi="宋体" w:eastAsia="宋体" w:cs="宋体"/>
                <w:snapToGrid w:val="0"/>
                <w:color w:val="auto"/>
                <w:spacing w:val="0"/>
                <w:kern w:val="0"/>
                <w:sz w:val="21"/>
                <w:szCs w:val="21"/>
                <w:highlight w:val="none"/>
                <w:lang w:eastAsia="en-US"/>
              </w:rPr>
              <w:t>10000</w:t>
            </w:r>
          </w:p>
        </w:tc>
        <w:tc>
          <w:tcPr>
            <w:tcW w:w="1240" w:type="dxa"/>
            <w:vMerge w:val="continue"/>
            <w:tcBorders>
              <w:left w:val="nil"/>
              <w:right w:val="single" w:color="auto" w:sz="4" w:space="0"/>
            </w:tcBorders>
            <w:vAlign w:val="center"/>
          </w:tcPr>
          <w:p w14:paraId="4A7728C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c>
          <w:tcPr>
            <w:tcW w:w="1240" w:type="dxa"/>
            <w:vMerge w:val="continue"/>
            <w:tcBorders>
              <w:top w:val="nil"/>
              <w:left w:val="nil"/>
              <w:right w:val="single" w:color="auto" w:sz="4" w:space="0"/>
            </w:tcBorders>
            <w:vAlign w:val="center"/>
          </w:tcPr>
          <w:p w14:paraId="0E5F5DF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c>
          <w:tcPr>
            <w:tcW w:w="1240" w:type="dxa"/>
            <w:tcBorders>
              <w:top w:val="single" w:color="auto" w:sz="4" w:space="0"/>
              <w:left w:val="nil"/>
              <w:right w:val="single" w:color="auto" w:sz="4" w:space="0"/>
            </w:tcBorders>
            <w:vAlign w:val="center"/>
          </w:tcPr>
          <w:p w14:paraId="7D35CFB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eastAsia="en-US"/>
              </w:rPr>
              <w:t>18工作日</w:t>
            </w:r>
          </w:p>
        </w:tc>
        <w:tc>
          <w:tcPr>
            <w:tcW w:w="2545" w:type="dxa"/>
            <w:tcBorders>
              <w:top w:val="single" w:color="auto" w:sz="4" w:space="0"/>
              <w:left w:val="nil"/>
              <w:right w:val="single" w:color="auto" w:sz="4" w:space="0"/>
            </w:tcBorders>
            <w:vAlign w:val="center"/>
          </w:tcPr>
          <w:p w14:paraId="5F29111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r>
              <w:rPr>
                <w:rFonts w:hint="eastAsia" w:ascii="宋体" w:hAnsi="宋体" w:eastAsia="宋体" w:cs="宋体"/>
                <w:snapToGrid w:val="0"/>
                <w:color w:val="auto"/>
                <w:spacing w:val="0"/>
                <w:kern w:val="0"/>
                <w:sz w:val="21"/>
                <w:szCs w:val="21"/>
                <w:highlight w:val="none"/>
                <w:lang w:val="en-US" w:eastAsia="zh-CN"/>
              </w:rPr>
              <w:t>28</w:t>
            </w:r>
            <w:r>
              <w:rPr>
                <w:rFonts w:hint="eastAsia" w:ascii="宋体" w:hAnsi="宋体" w:eastAsia="宋体" w:cs="宋体"/>
                <w:snapToGrid w:val="0"/>
                <w:color w:val="auto"/>
                <w:spacing w:val="0"/>
                <w:kern w:val="0"/>
                <w:sz w:val="21"/>
                <w:szCs w:val="21"/>
                <w:highlight w:val="none"/>
                <w:lang w:eastAsia="en-US"/>
              </w:rPr>
              <w:t>工作日</w:t>
            </w:r>
          </w:p>
        </w:tc>
        <w:tc>
          <w:tcPr>
            <w:tcW w:w="851" w:type="dxa"/>
            <w:vMerge w:val="continue"/>
            <w:tcBorders>
              <w:left w:val="nil"/>
            </w:tcBorders>
          </w:tcPr>
          <w:p w14:paraId="1F3857D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c>
          <w:tcPr>
            <w:tcW w:w="851" w:type="dxa"/>
            <w:vMerge w:val="continue"/>
            <w:tcBorders>
              <w:left w:val="nil"/>
            </w:tcBorders>
          </w:tcPr>
          <w:p w14:paraId="4FAAF64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240" w:lineRule="auto"/>
              <w:ind w:left="0" w:right="0"/>
              <w:jc w:val="center"/>
              <w:textAlignment w:val="baseline"/>
              <w:outlineLvl w:val="9"/>
              <w:rPr>
                <w:rFonts w:hint="eastAsia" w:ascii="宋体" w:hAnsi="宋体" w:eastAsia="宋体" w:cs="宋体"/>
                <w:snapToGrid w:val="0"/>
                <w:color w:val="auto"/>
                <w:spacing w:val="0"/>
                <w:kern w:val="0"/>
                <w:sz w:val="21"/>
                <w:szCs w:val="21"/>
                <w:highlight w:val="none"/>
                <w:lang w:eastAsia="en-US"/>
              </w:rPr>
            </w:pPr>
          </w:p>
        </w:tc>
      </w:tr>
    </w:tbl>
    <w:p w14:paraId="3ED353E4">
      <w:pPr>
        <w:keepNext w:val="0"/>
        <w:keepLines w:val="0"/>
        <w:pageBreakBefore w:val="0"/>
        <w:widowControl/>
        <w:kinsoku/>
        <w:wordWrap/>
        <w:overflowPunct/>
        <w:topLinePunct/>
        <w:autoSpaceDE/>
        <w:autoSpaceDN/>
        <w:bidi w:val="0"/>
        <w:adjustRightInd w:val="0"/>
        <w:snapToGrid w:val="0"/>
        <w:spacing w:line="360" w:lineRule="auto"/>
        <w:ind w:right="522" w:firstLine="420" w:firstLineChars="200"/>
        <w:jc w:val="both"/>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4</w:t>
      </w:r>
      <w:r>
        <w:rPr>
          <w:rFonts w:hint="eastAsia" w:ascii="宋体" w:hAnsi="宋体" w:eastAsia="宋体" w:cs="宋体"/>
          <w:snapToGrid w:val="0"/>
          <w:color w:val="auto"/>
          <w:spacing w:val="0"/>
          <w:kern w:val="0"/>
          <w:sz w:val="21"/>
          <w:szCs w:val="21"/>
          <w:highlight w:val="none"/>
          <w:lang w:val="en-US" w:eastAsia="en-US" w:bidi="ar-SA"/>
        </w:rPr>
        <w:t>.</w:t>
      </w:r>
      <w:r>
        <w:rPr>
          <w:rFonts w:hint="default" w:ascii="宋体" w:hAnsi="宋体" w:eastAsia="宋体" w:cs="宋体"/>
          <w:snapToGrid w:val="0"/>
          <w:color w:val="auto"/>
          <w:spacing w:val="0"/>
          <w:kern w:val="0"/>
          <w:sz w:val="21"/>
          <w:szCs w:val="21"/>
          <w:highlight w:val="none"/>
          <w:lang w:val="en-US" w:eastAsia="en-US" w:bidi="ar-SA"/>
        </w:rPr>
        <w:t>2</w:t>
      </w:r>
      <w:r>
        <w:rPr>
          <w:rFonts w:hint="eastAsia" w:ascii="宋体" w:hAnsi="宋体" w:eastAsia="宋体" w:cs="宋体"/>
          <w:snapToGrid w:val="0"/>
          <w:color w:val="auto"/>
          <w:spacing w:val="0"/>
          <w:kern w:val="0"/>
          <w:sz w:val="21"/>
          <w:szCs w:val="21"/>
          <w:highlight w:val="none"/>
          <w:lang w:val="en-US" w:eastAsia="en-US" w:bidi="ar-SA"/>
        </w:rPr>
        <w:t xml:space="preserve"> 以上时限为</w:t>
      </w:r>
      <w:r>
        <w:rPr>
          <w:rFonts w:hint="eastAsia" w:ascii="宋体" w:hAnsi="宋体" w:eastAsia="宋体" w:cs="宋体"/>
          <w:snapToGrid w:val="0"/>
          <w:color w:val="auto"/>
          <w:spacing w:val="0"/>
          <w:kern w:val="0"/>
          <w:sz w:val="21"/>
          <w:szCs w:val="21"/>
          <w:highlight w:val="none"/>
          <w:lang w:val="en-US" w:eastAsia="zh-CN" w:bidi="ar-SA"/>
        </w:rPr>
        <w:t>中标人</w:t>
      </w:r>
      <w:r>
        <w:rPr>
          <w:rFonts w:hint="eastAsia" w:ascii="宋体" w:hAnsi="宋体" w:eastAsia="宋体" w:cs="宋体"/>
          <w:snapToGrid w:val="0"/>
          <w:color w:val="auto"/>
          <w:spacing w:val="0"/>
          <w:kern w:val="0"/>
          <w:sz w:val="21"/>
          <w:szCs w:val="21"/>
          <w:highlight w:val="none"/>
          <w:lang w:val="en-US" w:eastAsia="en-US" w:bidi="ar-SA"/>
        </w:rPr>
        <w:t>完成单项工程造价咨询服务</w:t>
      </w:r>
      <w:r>
        <w:rPr>
          <w:rFonts w:hint="eastAsia" w:ascii="宋体" w:hAnsi="宋体" w:eastAsia="宋体" w:cs="宋体"/>
          <w:snapToGrid w:val="0"/>
          <w:color w:val="auto"/>
          <w:spacing w:val="0"/>
          <w:kern w:val="0"/>
          <w:sz w:val="21"/>
          <w:szCs w:val="21"/>
          <w:highlight w:val="none"/>
          <w:lang w:val="en-US" w:eastAsia="zh-CN" w:bidi="ar-SA"/>
        </w:rPr>
        <w:t>并向招标人正式报出初稿</w:t>
      </w:r>
      <w:r>
        <w:rPr>
          <w:rFonts w:hint="eastAsia" w:ascii="宋体" w:hAnsi="宋体" w:eastAsia="宋体" w:cs="宋体"/>
          <w:snapToGrid w:val="0"/>
          <w:color w:val="auto"/>
          <w:spacing w:val="0"/>
          <w:kern w:val="0"/>
          <w:sz w:val="21"/>
          <w:szCs w:val="21"/>
          <w:highlight w:val="none"/>
          <w:lang w:val="en-US" w:eastAsia="en-US" w:bidi="ar-SA"/>
        </w:rPr>
        <w:t>成果文件的时间。招标人有权根据单项工作实际情况，要求中标人加快完成相关工作，中标人应予以配合。</w:t>
      </w:r>
    </w:p>
    <w:p w14:paraId="71FACC8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4.3在履约期间，如招标人的委托资料不齐全或招标人对中标人所提出的问题不能及时核对或答复，则中标人的服务期限可相应顺延，并不因此承担违约责任。</w:t>
      </w:r>
    </w:p>
    <w:p w14:paraId="1E93B98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4.4成果文件的交付数量及要求。</w:t>
      </w:r>
    </w:p>
    <w:p w14:paraId="395BEE9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（1）结算审核业务的成果文件需包含《项目造价审核表》、《结算审核书》、《审核说明》及项目报表。</w:t>
      </w:r>
    </w:p>
    <w:p w14:paraId="23D8461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（2）估算编审、概算编审、预算编审业务的成果文件需包含封面、编制说明及项目报表。如根据图纸算量需提供工程量计算底稿电子版。</w:t>
      </w:r>
    </w:p>
    <w:p w14:paraId="2BC4262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（3）通过询价方式编制的货物采购、服务</w:t>
      </w:r>
      <w:r>
        <w:rPr>
          <w:rFonts w:hint="default" w:ascii="宋体" w:hAnsi="宋体" w:eastAsia="宋体" w:cs="宋体"/>
          <w:color w:val="auto"/>
          <w:kern w:val="2"/>
          <w:sz w:val="21"/>
          <w:szCs w:val="21"/>
          <w:highlight w:val="none"/>
          <w:lang w:val="en-US" w:eastAsia="zh-CN" w:bidi="ar"/>
        </w:rPr>
        <w:t>类</w:t>
      </w:r>
      <w:r>
        <w:rPr>
          <w:rFonts w:hint="eastAsia" w:ascii="宋体" w:hAnsi="宋体" w:eastAsia="宋体" w:cs="宋体"/>
          <w:color w:val="auto"/>
          <w:kern w:val="2"/>
          <w:sz w:val="21"/>
          <w:szCs w:val="21"/>
          <w:highlight w:val="none"/>
          <w:lang w:val="en-US" w:eastAsia="zh-CN" w:bidi="ar"/>
        </w:rPr>
        <w:t>招标控制价，需提供询价过程资料、询价单位清单、招标控制价编制情况说明等资料。</w:t>
      </w:r>
    </w:p>
    <w:p w14:paraId="3361752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（4）中标人向招标人提交的初稿成果文件，需包含电子版（包括广联达、Excel、Word等可编辑格式）及成果扫描版一套，无需提交纸质版。</w:t>
      </w:r>
    </w:p>
    <w:p w14:paraId="6B36FEF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（5）中标人向招标人提交的终稿成果文件，需包含电子版（包括广联达、Excel、Word等可编辑格式）及经招标人审核确认的成果扫描版一套，纸质成果文件四套。</w:t>
      </w:r>
    </w:p>
    <w:p w14:paraId="56EDBDB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4.5成果验收</w:t>
      </w:r>
    </w:p>
    <w:p w14:paraId="59EDD16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（1）验收标准：招标人按照本合同约定的服务内容对终稿成果文件进行验收。中标人提交的终稿成果文件须符合本合同约定的要求，且须经招标人确认后即视为验收合格。</w:t>
      </w:r>
    </w:p>
    <w:p w14:paraId="750702D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（2）招标人对服务成果的验收不能免除中标人应承担的质量责任。</w:t>
      </w:r>
    </w:p>
    <w:p w14:paraId="50452E13">
      <w:pPr>
        <w:keepNext w:val="0"/>
        <w:keepLines w:val="0"/>
        <w:pageBreakBefore w:val="0"/>
        <w:widowControl/>
        <w:kinsoku/>
        <w:wordWrap/>
        <w:overflowPunct/>
        <w:topLinePunct/>
        <w:autoSpaceDE/>
        <w:autoSpaceDN/>
        <w:bidi w:val="0"/>
        <w:adjustRightInd w:val="0"/>
        <w:snapToGrid w:val="0"/>
        <w:spacing w:line="360" w:lineRule="auto"/>
        <w:ind w:left="442"/>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bookmarkStart w:id="424" w:name="_Toc26191"/>
      <w:r>
        <w:rPr>
          <w:rFonts w:hint="eastAsia" w:ascii="宋体" w:hAnsi="宋体" w:eastAsia="宋体" w:cs="宋体"/>
          <w:b/>
          <w:bCs/>
          <w:snapToGrid w:val="0"/>
          <w:color w:val="auto"/>
          <w:spacing w:val="0"/>
          <w:kern w:val="0"/>
          <w:sz w:val="21"/>
          <w:szCs w:val="21"/>
          <w:highlight w:val="none"/>
          <w:lang w:val="en-US" w:eastAsia="zh-CN" w:bidi="ar-SA"/>
        </w:rPr>
        <w:t>五</w:t>
      </w:r>
      <w:r>
        <w:rPr>
          <w:rFonts w:hint="eastAsia" w:ascii="宋体" w:hAnsi="宋体" w:eastAsia="宋体" w:cs="宋体"/>
          <w:b/>
          <w:bCs/>
          <w:snapToGrid w:val="0"/>
          <w:color w:val="auto"/>
          <w:spacing w:val="0"/>
          <w:kern w:val="0"/>
          <w:sz w:val="21"/>
          <w:szCs w:val="21"/>
          <w:highlight w:val="none"/>
          <w:lang w:val="en-US" w:eastAsia="en-US" w:bidi="ar-SA"/>
        </w:rPr>
        <w:t>、服务要求</w:t>
      </w:r>
      <w:bookmarkEnd w:id="424"/>
    </w:p>
    <w:p w14:paraId="6A1CE97A">
      <w:pPr>
        <w:keepNext w:val="0"/>
        <w:keepLines w:val="0"/>
        <w:pageBreakBefore w:val="0"/>
        <w:widowControl/>
        <w:kinsoku/>
        <w:wordWrap/>
        <w:overflowPunct/>
        <w:topLinePunct/>
        <w:autoSpaceDE/>
        <w:autoSpaceDN/>
        <w:bidi w:val="0"/>
        <w:adjustRightInd w:val="0"/>
        <w:snapToGrid w:val="0"/>
        <w:spacing w:line="360" w:lineRule="auto"/>
        <w:ind w:left="72" w:right="395" w:firstLine="370"/>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.1</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根</w:t>
      </w:r>
      <w:r>
        <w:rPr>
          <w:rFonts w:hint="eastAsia" w:ascii="宋体" w:hAnsi="宋体" w:eastAsia="宋体" w:cs="宋体"/>
          <w:b w:val="0"/>
          <w:bCs w:val="0"/>
          <w:snapToGrid w:val="0"/>
          <w:color w:val="auto"/>
          <w:spacing w:val="0"/>
          <w:kern w:val="0"/>
          <w:sz w:val="21"/>
          <w:szCs w:val="21"/>
          <w:highlight w:val="none"/>
          <w:lang w:val="en-US" w:eastAsia="en-US" w:bidi="ar-SA"/>
        </w:rPr>
        <w:t>据国家和省、市有关工程造价的法规、政策、文件、以及基建财务管理的有关规定，本着为招标人节约投资的原则，科学、客观、公正地开展工程造价咨询服务工作；应按招标人的要求，按时按质按量提供咨询报告，对成果报告的真实性、准确性、完整性、合法性、合理性负责，并负有保密责任。</w:t>
      </w:r>
    </w:p>
    <w:p w14:paraId="6E842BE6">
      <w:pPr>
        <w:keepNext w:val="0"/>
        <w:keepLines w:val="0"/>
        <w:pageBreakBefore w:val="0"/>
        <w:widowControl/>
        <w:kinsoku/>
        <w:wordWrap/>
        <w:overflowPunct/>
        <w:topLinePunct/>
        <w:autoSpaceDE/>
        <w:autoSpaceDN/>
        <w:bidi w:val="0"/>
        <w:adjustRightInd w:val="0"/>
        <w:snapToGrid w:val="0"/>
        <w:spacing w:line="360" w:lineRule="auto"/>
        <w:ind w:right="447" w:firstLine="41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.2</w:t>
      </w:r>
      <w:r>
        <w:rPr>
          <w:rFonts w:hint="eastAsia" w:ascii="宋体" w:hAnsi="宋体" w:eastAsia="宋体" w:cs="宋体"/>
          <w:snapToGrid w:val="0"/>
          <w:color w:val="auto"/>
          <w:spacing w:val="0"/>
          <w:kern w:val="0"/>
          <w:sz w:val="21"/>
          <w:szCs w:val="21"/>
          <w:highlight w:val="none"/>
          <w:lang w:val="en-US" w:eastAsia="zh-CN" w:bidi="ar-SA"/>
        </w:rPr>
        <w:t xml:space="preserve"> 根据</w:t>
      </w:r>
      <w:r>
        <w:rPr>
          <w:rFonts w:hint="eastAsia" w:ascii="宋体" w:hAnsi="宋体" w:eastAsia="宋体" w:cs="宋体"/>
          <w:snapToGrid w:val="0"/>
          <w:color w:val="auto"/>
          <w:spacing w:val="0"/>
          <w:kern w:val="0"/>
          <w:sz w:val="21"/>
          <w:szCs w:val="21"/>
          <w:highlight w:val="none"/>
          <w:lang w:val="en-US" w:eastAsia="en-US" w:bidi="ar-SA"/>
        </w:rPr>
        <w:t>招标人</w:t>
      </w:r>
      <w:r>
        <w:rPr>
          <w:rFonts w:hint="eastAsia" w:ascii="宋体" w:hAnsi="宋体" w:eastAsia="宋体" w:cs="宋体"/>
          <w:snapToGrid w:val="0"/>
          <w:color w:val="auto"/>
          <w:spacing w:val="0"/>
          <w:kern w:val="0"/>
          <w:sz w:val="21"/>
          <w:szCs w:val="21"/>
          <w:highlight w:val="none"/>
          <w:lang w:val="en-US" w:eastAsia="zh-CN" w:bidi="ar-SA"/>
        </w:rPr>
        <w:t>的委托，</w:t>
      </w:r>
      <w:r>
        <w:rPr>
          <w:rFonts w:hint="eastAsia" w:ascii="宋体" w:hAnsi="宋体" w:eastAsia="宋体" w:cs="宋体"/>
          <w:snapToGrid w:val="0"/>
          <w:color w:val="auto"/>
          <w:spacing w:val="0"/>
          <w:kern w:val="0"/>
          <w:sz w:val="21"/>
          <w:szCs w:val="21"/>
          <w:highlight w:val="none"/>
          <w:lang w:val="en-US" w:eastAsia="en-US" w:bidi="ar-SA"/>
        </w:rPr>
        <w:t>编制和审核的工程概预算(含最高限价)、招标工程量清单应确保结果完整、科学、准确，符合工程项目的实际情况和国家有关工程计价规范；招标工程量清单设置要科学、合理，不得有高估冒算、虚列项目，也不得有漏项漏量、重项错量等错误，如有上述错误，应负相应的责任。</w:t>
      </w:r>
    </w:p>
    <w:p w14:paraId="7C9A7FC8">
      <w:pPr>
        <w:keepNext w:val="0"/>
        <w:keepLines w:val="0"/>
        <w:pageBreakBefore w:val="0"/>
        <w:widowControl/>
        <w:kinsoku/>
        <w:wordWrap/>
        <w:overflowPunct/>
        <w:topLinePunct/>
        <w:autoSpaceDE/>
        <w:autoSpaceDN/>
        <w:bidi w:val="0"/>
        <w:adjustRightInd w:val="0"/>
        <w:snapToGrid w:val="0"/>
        <w:spacing w:line="360" w:lineRule="auto"/>
        <w:ind w:right="458" w:firstLine="41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.3</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在编制和审核工程概预算(含最高限价)、招标工程量清单时，如招标人有相关需求，中标人须对项目的设计方案作出技术经济分析，并向招标人提出优化方案和合理化建议。</w:t>
      </w:r>
    </w:p>
    <w:p w14:paraId="29F6E2CA">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.4</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要坚持科学准确、客观真实、公平公正、合理合法、廉洁高效的原则，审核工程竣工结算。必须及时配合招标人解决结算审核中存在的技术问题，在服务过程中，如发现计价原则方法的确定、重大的签证审核以及工程管理中存在违规行为要及时向招标人反映，不得擅自作出处理，要对项目的全过程管理依法作出正确的评价。</w:t>
      </w:r>
    </w:p>
    <w:p w14:paraId="460A02E3">
      <w:pPr>
        <w:keepNext w:val="0"/>
        <w:keepLines w:val="0"/>
        <w:pageBreakBefore w:val="0"/>
        <w:widowControl/>
        <w:kinsoku/>
        <w:wordWrap/>
        <w:overflowPunct/>
        <w:topLinePunct/>
        <w:autoSpaceDE/>
        <w:autoSpaceDN/>
        <w:bidi w:val="0"/>
        <w:adjustRightInd w:val="0"/>
        <w:snapToGrid w:val="0"/>
        <w:spacing w:line="360" w:lineRule="auto"/>
        <w:ind w:right="459" w:firstLine="419"/>
        <w:jc w:val="both"/>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.5</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对存有疑问的地方，应配合招标人深入现场调查取证，逐一核实，按实际情况调整，保证工程造价咨询服务成果文件的合理性和真实性。重要的材料或设备价格，应及时与招标人沟通，协商确定合理的价格。</w:t>
      </w:r>
    </w:p>
    <w:p w14:paraId="1BD8CF91">
      <w:pPr>
        <w:keepNext w:val="0"/>
        <w:keepLines w:val="0"/>
        <w:pageBreakBefore w:val="0"/>
        <w:widowControl/>
        <w:kinsoku/>
        <w:wordWrap/>
        <w:overflowPunct/>
        <w:topLinePunct/>
        <w:autoSpaceDE/>
        <w:autoSpaceDN/>
        <w:bidi w:val="0"/>
        <w:adjustRightInd w:val="0"/>
        <w:snapToGrid w:val="0"/>
        <w:spacing w:line="360" w:lineRule="auto"/>
        <w:ind w:right="486" w:firstLine="41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.6</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配合招标人做好编审依据的收集及取证工作，所有的编审依据必须是有效的书面资料，并妥善保存。</w:t>
      </w:r>
    </w:p>
    <w:p w14:paraId="523A1F30">
      <w:pPr>
        <w:keepNext w:val="0"/>
        <w:keepLines w:val="0"/>
        <w:pageBreakBefore w:val="0"/>
        <w:widowControl/>
        <w:kinsoku/>
        <w:wordWrap/>
        <w:overflowPunct/>
        <w:topLinePunct/>
        <w:autoSpaceDE/>
        <w:autoSpaceDN/>
        <w:bidi w:val="0"/>
        <w:adjustRightInd w:val="0"/>
        <w:snapToGrid w:val="0"/>
        <w:spacing w:line="360" w:lineRule="auto"/>
        <w:ind w:right="391" w:firstLine="41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.7</w:t>
      </w:r>
      <w:r>
        <w:rPr>
          <w:rFonts w:hint="eastAsia" w:ascii="宋体" w:hAnsi="宋体" w:eastAsia="宋体" w:cs="宋体"/>
          <w:snapToGrid w:val="0"/>
          <w:color w:val="auto"/>
          <w:spacing w:val="0"/>
          <w:kern w:val="0"/>
          <w:sz w:val="21"/>
          <w:szCs w:val="21"/>
          <w:highlight w:val="none"/>
          <w:lang w:val="en-US" w:eastAsia="zh-CN" w:bidi="ar-SA"/>
        </w:rPr>
        <w:t xml:space="preserve"> </w:t>
      </w:r>
      <w:r>
        <w:rPr>
          <w:rFonts w:hint="eastAsia" w:ascii="宋体" w:hAnsi="宋体" w:eastAsia="宋体" w:cs="宋体"/>
          <w:snapToGrid w:val="0"/>
          <w:color w:val="auto"/>
          <w:spacing w:val="0"/>
          <w:kern w:val="0"/>
          <w:sz w:val="21"/>
          <w:szCs w:val="21"/>
          <w:highlight w:val="none"/>
          <w:lang w:val="en-US" w:eastAsia="en-US" w:bidi="ar-SA"/>
        </w:rPr>
        <w:t>不得接受同一项目不同委托人的造价咨询服务委托，即就同一项目既接受招标人的委托，又接受项目投标供应商、承包单位等相对利益关系人的委托。</w:t>
      </w:r>
    </w:p>
    <w:p w14:paraId="6E5F76DC">
      <w:pPr>
        <w:keepNext w:val="0"/>
        <w:keepLines w:val="0"/>
        <w:pageBreakBefore w:val="0"/>
        <w:widowControl/>
        <w:kinsoku/>
        <w:wordWrap/>
        <w:overflowPunct/>
        <w:topLinePunct/>
        <w:autoSpaceDE/>
        <w:autoSpaceDN/>
        <w:bidi w:val="0"/>
        <w:adjustRightInd w:val="0"/>
        <w:snapToGrid w:val="0"/>
        <w:spacing w:line="360" w:lineRule="auto"/>
        <w:ind w:right="459" w:firstLine="41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.8 项目的结果未经招标人许可，不得泄露给他人。中标</w:t>
      </w:r>
      <w:r>
        <w:rPr>
          <w:rFonts w:hint="eastAsia" w:ascii="宋体" w:hAnsi="宋体" w:eastAsia="宋体" w:cs="宋体"/>
          <w:snapToGrid w:val="0"/>
          <w:color w:val="auto"/>
          <w:spacing w:val="0"/>
          <w:kern w:val="0"/>
          <w:sz w:val="21"/>
          <w:szCs w:val="21"/>
          <w:highlight w:val="none"/>
          <w:lang w:val="en-US" w:eastAsia="zh-CN" w:bidi="ar-SA"/>
        </w:rPr>
        <w:t>人</w:t>
      </w:r>
      <w:r>
        <w:rPr>
          <w:rFonts w:hint="eastAsia" w:ascii="宋体" w:hAnsi="宋体" w:eastAsia="宋体" w:cs="宋体"/>
          <w:snapToGrid w:val="0"/>
          <w:color w:val="auto"/>
          <w:spacing w:val="0"/>
          <w:kern w:val="0"/>
          <w:sz w:val="21"/>
          <w:szCs w:val="21"/>
          <w:highlight w:val="none"/>
          <w:lang w:val="en-US" w:eastAsia="en-US" w:bidi="ar-SA"/>
        </w:rPr>
        <w:t>应对受托任务涉及的有关资料、内容、成果以及结论承担保密的义务。</w:t>
      </w:r>
    </w:p>
    <w:p w14:paraId="2FA11597">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outlineLvl w:val="9"/>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5</w:t>
      </w:r>
      <w:r>
        <w:rPr>
          <w:rFonts w:hint="eastAsia" w:ascii="宋体" w:hAnsi="宋体" w:eastAsia="宋体" w:cs="宋体"/>
          <w:snapToGrid w:val="0"/>
          <w:color w:val="auto"/>
          <w:spacing w:val="0"/>
          <w:kern w:val="0"/>
          <w:sz w:val="21"/>
          <w:szCs w:val="21"/>
          <w:highlight w:val="none"/>
          <w:lang w:val="en-US" w:eastAsia="en-US" w:bidi="ar-SA"/>
        </w:rPr>
        <w:t>.9 对于招标人要求中标人驻场服务的项目，中标人有义务派出专业的人员驻场服务，服务场地由招标人提供</w:t>
      </w:r>
      <w:r>
        <w:rPr>
          <w:rFonts w:hint="eastAsia" w:ascii="宋体" w:hAnsi="宋体" w:eastAsia="宋体" w:cs="宋体"/>
          <w:snapToGrid w:val="0"/>
          <w:color w:val="auto"/>
          <w:spacing w:val="0"/>
          <w:kern w:val="0"/>
          <w:sz w:val="21"/>
          <w:szCs w:val="21"/>
          <w:highlight w:val="none"/>
          <w:lang w:val="en-US" w:eastAsia="zh-CN" w:bidi="ar-SA"/>
        </w:rPr>
        <w:t>。</w:t>
      </w:r>
    </w:p>
    <w:p w14:paraId="20A0F1AD">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snapToGrid w:val="0"/>
          <w:color w:val="auto"/>
          <w:spacing w:val="0"/>
          <w:kern w:val="0"/>
          <w:sz w:val="21"/>
          <w:szCs w:val="21"/>
          <w:highlight w:val="none"/>
          <w:lang w:val="en-US" w:eastAsia="en-US" w:bidi="ar-SA"/>
        </w:rPr>
        <w:t>5.10 在项目服务期内，投标人承诺本项目服务人员接到招标人通知后2小时内响应；如招标人对造价咨询成果文件有</w:t>
      </w:r>
      <w:r>
        <w:rPr>
          <w:rFonts w:hint="eastAsia" w:ascii="宋体" w:hAnsi="宋体" w:eastAsia="宋体" w:cs="宋体"/>
          <w:snapToGrid w:val="0"/>
          <w:color w:val="auto"/>
          <w:spacing w:val="0"/>
          <w:kern w:val="0"/>
          <w:sz w:val="21"/>
          <w:szCs w:val="21"/>
          <w:highlight w:val="none"/>
          <w:lang w:val="en-US" w:eastAsia="zh-CN" w:bidi="ar-SA"/>
        </w:rPr>
        <w:t>反馈</w:t>
      </w:r>
      <w:r>
        <w:rPr>
          <w:rFonts w:hint="eastAsia" w:ascii="宋体" w:hAnsi="宋体" w:eastAsia="宋体" w:cs="宋体"/>
          <w:snapToGrid w:val="0"/>
          <w:color w:val="auto"/>
          <w:spacing w:val="0"/>
          <w:kern w:val="0"/>
          <w:sz w:val="21"/>
          <w:szCs w:val="21"/>
          <w:highlight w:val="none"/>
          <w:lang w:val="en-US" w:eastAsia="en-US" w:bidi="ar-SA"/>
        </w:rPr>
        <w:t>意见</w:t>
      </w:r>
      <w:r>
        <w:rPr>
          <w:rFonts w:hint="eastAsia" w:ascii="宋体" w:hAnsi="宋体" w:eastAsia="宋体" w:cs="宋体"/>
          <w:snapToGrid w:val="0"/>
          <w:color w:val="auto"/>
          <w:kern w:val="0"/>
          <w:szCs w:val="21"/>
          <w:highlight w:val="none"/>
          <w:lang w:eastAsia="en-US"/>
        </w:rPr>
        <w:t>而需要作出调整修改</w:t>
      </w:r>
      <w:r>
        <w:rPr>
          <w:rFonts w:hint="eastAsia" w:ascii="宋体" w:hAnsi="宋体" w:eastAsia="宋体" w:cs="宋体"/>
          <w:snapToGrid w:val="0"/>
          <w:color w:val="auto"/>
          <w:spacing w:val="0"/>
          <w:kern w:val="0"/>
          <w:sz w:val="21"/>
          <w:szCs w:val="21"/>
          <w:highlight w:val="none"/>
          <w:lang w:val="en-US" w:eastAsia="en-US" w:bidi="ar-SA"/>
        </w:rPr>
        <w:t>的，承诺在收到招标人的意见后2天内完成修改。</w:t>
      </w:r>
    </w:p>
    <w:p w14:paraId="37C552B9">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bookmarkStart w:id="425" w:name="_Toc32339"/>
      <w:r>
        <w:rPr>
          <w:rFonts w:hint="eastAsia" w:ascii="宋体" w:hAnsi="宋体" w:eastAsia="宋体" w:cs="宋体"/>
          <w:b/>
          <w:bCs w:val="0"/>
          <w:color w:val="auto"/>
          <w:szCs w:val="21"/>
          <w:highlight w:val="none"/>
          <w:u w:val="none"/>
        </w:rPr>
        <w:t>★</w:t>
      </w:r>
      <w:r>
        <w:rPr>
          <w:rFonts w:hint="eastAsia" w:ascii="宋体" w:hAnsi="宋体" w:eastAsia="宋体" w:cs="宋体"/>
          <w:b/>
          <w:bCs/>
          <w:snapToGrid w:val="0"/>
          <w:color w:val="auto"/>
          <w:spacing w:val="0"/>
          <w:kern w:val="0"/>
          <w:sz w:val="21"/>
          <w:szCs w:val="21"/>
          <w:highlight w:val="none"/>
          <w:lang w:val="en-US" w:eastAsia="zh-CN" w:bidi="ar-SA"/>
        </w:rPr>
        <w:t>5</w:t>
      </w:r>
      <w:r>
        <w:rPr>
          <w:rFonts w:hint="eastAsia" w:ascii="宋体" w:hAnsi="宋体" w:eastAsia="宋体" w:cs="宋体"/>
          <w:b/>
          <w:bCs/>
          <w:snapToGrid w:val="0"/>
          <w:color w:val="auto"/>
          <w:spacing w:val="0"/>
          <w:kern w:val="0"/>
          <w:sz w:val="21"/>
          <w:szCs w:val="21"/>
          <w:highlight w:val="none"/>
          <w:lang w:val="en-US" w:eastAsia="en-US" w:bidi="ar-SA"/>
        </w:rPr>
        <w:t>.1</w:t>
      </w:r>
      <w:r>
        <w:rPr>
          <w:rFonts w:hint="eastAsia" w:ascii="宋体" w:hAnsi="宋体" w:eastAsia="宋体" w:cs="宋体"/>
          <w:b/>
          <w:bCs/>
          <w:snapToGrid w:val="0"/>
          <w:color w:val="auto"/>
          <w:spacing w:val="0"/>
          <w:kern w:val="0"/>
          <w:sz w:val="21"/>
          <w:szCs w:val="21"/>
          <w:highlight w:val="none"/>
          <w:lang w:val="en-US" w:eastAsia="zh-CN" w:bidi="ar-SA"/>
        </w:rPr>
        <w:t>1</w:t>
      </w:r>
      <w:r>
        <w:rPr>
          <w:rFonts w:hint="eastAsia" w:ascii="宋体" w:hAnsi="宋体" w:eastAsia="宋体" w:cs="宋体"/>
          <w:b/>
          <w:bCs/>
          <w:snapToGrid w:val="0"/>
          <w:color w:val="auto"/>
          <w:spacing w:val="0"/>
          <w:kern w:val="0"/>
          <w:sz w:val="21"/>
          <w:szCs w:val="21"/>
          <w:highlight w:val="none"/>
          <w:lang w:val="en-US" w:eastAsia="en-US" w:bidi="ar-SA"/>
        </w:rPr>
        <w:t>人员要求</w:t>
      </w:r>
      <w:bookmarkEnd w:id="425"/>
    </w:p>
    <w:p w14:paraId="115FEF7A">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outlineLvl w:val="9"/>
        <w:rPr>
          <w:rFonts w:hint="eastAsia" w:ascii="宋体" w:hAnsi="宋体" w:eastAsia="宋体" w:cs="宋体"/>
          <w:b/>
          <w:bCs w:val="0"/>
          <w:snapToGrid w:val="0"/>
          <w:color w:val="auto"/>
          <w:spacing w:val="0"/>
          <w:kern w:val="0"/>
          <w:sz w:val="21"/>
          <w:szCs w:val="21"/>
          <w:highlight w:val="none"/>
          <w:lang w:val="en-US" w:eastAsia="en-US" w:bidi="ar-SA"/>
        </w:rPr>
      </w:pPr>
      <w:r>
        <w:rPr>
          <w:rFonts w:hint="eastAsia" w:ascii="宋体" w:hAnsi="宋体" w:eastAsia="宋体" w:cs="宋体"/>
          <w:b/>
          <w:bCs w:val="0"/>
          <w:snapToGrid w:val="0"/>
          <w:color w:val="auto"/>
          <w:spacing w:val="0"/>
          <w:kern w:val="0"/>
          <w:sz w:val="21"/>
          <w:szCs w:val="21"/>
          <w:highlight w:val="none"/>
          <w:lang w:val="en-US" w:eastAsia="zh-CN" w:bidi="ar-SA"/>
        </w:rPr>
        <w:t>（1）</w:t>
      </w:r>
      <w:r>
        <w:rPr>
          <w:rFonts w:hint="eastAsia" w:ascii="宋体" w:hAnsi="宋体" w:eastAsia="宋体" w:cs="宋体"/>
          <w:b/>
          <w:bCs w:val="0"/>
          <w:snapToGrid w:val="0"/>
          <w:color w:val="auto"/>
          <w:spacing w:val="0"/>
          <w:kern w:val="0"/>
          <w:sz w:val="21"/>
          <w:szCs w:val="21"/>
          <w:highlight w:val="none"/>
          <w:lang w:val="en-US" w:eastAsia="en-US" w:bidi="ar-SA"/>
        </w:rPr>
        <w:t>拟投入本项目的技术负责人(仅一人)须具有</w:t>
      </w:r>
      <w:r>
        <w:rPr>
          <w:rFonts w:hint="eastAsia" w:ascii="宋体" w:hAnsi="宋体" w:eastAsia="宋体" w:cs="宋体"/>
          <w:b/>
          <w:bCs/>
          <w:color w:val="auto"/>
          <w:sz w:val="21"/>
          <w:szCs w:val="21"/>
          <w:highlight w:val="none"/>
          <w:lang w:val="en-US" w:eastAsia="zh-CN"/>
        </w:rPr>
        <w:t>一级造价工程师注册证书</w:t>
      </w:r>
      <w:r>
        <w:rPr>
          <w:rFonts w:hint="eastAsia" w:ascii="宋体" w:hAnsi="宋体" w:eastAsia="宋体" w:cs="宋体"/>
          <w:b/>
          <w:bCs w:val="0"/>
          <w:snapToGrid w:val="0"/>
          <w:color w:val="auto"/>
          <w:spacing w:val="0"/>
          <w:kern w:val="0"/>
          <w:sz w:val="21"/>
          <w:szCs w:val="21"/>
          <w:highlight w:val="none"/>
          <w:lang w:val="en-US" w:eastAsia="en-US" w:bidi="ar-SA"/>
        </w:rPr>
        <w:t>，并具有工程</w:t>
      </w:r>
      <w:r>
        <w:rPr>
          <w:rFonts w:hint="eastAsia" w:ascii="宋体" w:hAnsi="宋体" w:eastAsia="宋体" w:cs="宋体"/>
          <w:b/>
          <w:bCs w:val="0"/>
          <w:snapToGrid w:val="0"/>
          <w:color w:val="auto"/>
          <w:spacing w:val="0"/>
          <w:kern w:val="0"/>
          <w:sz w:val="21"/>
          <w:szCs w:val="21"/>
          <w:highlight w:val="none"/>
          <w:lang w:val="en-US" w:eastAsia="zh-CN" w:bidi="ar-SA"/>
        </w:rPr>
        <w:t>类相关</w:t>
      </w:r>
      <w:r>
        <w:rPr>
          <w:rFonts w:hint="eastAsia" w:ascii="宋体" w:hAnsi="宋体" w:eastAsia="宋体" w:cs="宋体"/>
          <w:b/>
          <w:bCs w:val="0"/>
          <w:snapToGrid w:val="0"/>
          <w:color w:val="auto"/>
          <w:spacing w:val="0"/>
          <w:kern w:val="0"/>
          <w:sz w:val="21"/>
          <w:szCs w:val="21"/>
          <w:highlight w:val="none"/>
          <w:lang w:val="en-US" w:eastAsia="en-US" w:bidi="ar-SA"/>
        </w:rPr>
        <w:t>高级专业技术职称。</w:t>
      </w:r>
    </w:p>
    <w:p w14:paraId="155FBFD9">
      <w:pPr>
        <w:keepNext w:val="0"/>
        <w:keepLines w:val="0"/>
        <w:pageBreakBefore w:val="0"/>
        <w:widowControl/>
        <w:kinsoku/>
        <w:wordWrap/>
        <w:overflowPunct/>
        <w:topLinePunct/>
        <w:autoSpaceDE/>
        <w:autoSpaceDN/>
        <w:bidi w:val="0"/>
        <w:adjustRightInd w:val="0"/>
        <w:snapToGrid w:val="0"/>
        <w:spacing w:line="360" w:lineRule="auto"/>
        <w:ind w:right="445" w:firstLine="419"/>
        <w:jc w:val="left"/>
        <w:textAlignment w:val="baseline"/>
        <w:outlineLvl w:val="9"/>
        <w:rPr>
          <w:rFonts w:hint="eastAsia" w:ascii="宋体" w:hAnsi="宋体" w:eastAsia="宋体" w:cs="宋体"/>
          <w:b/>
          <w:bCs/>
          <w:snapToGrid w:val="0"/>
          <w:color w:val="auto"/>
          <w:spacing w:val="0"/>
          <w:kern w:val="0"/>
          <w:sz w:val="21"/>
          <w:szCs w:val="21"/>
          <w:highlight w:val="none"/>
          <w:lang w:val="en-US" w:eastAsia="en-US" w:bidi="ar-SA"/>
        </w:rPr>
      </w:pPr>
      <w:r>
        <w:rPr>
          <w:rFonts w:hint="eastAsia" w:ascii="宋体" w:hAnsi="宋体" w:eastAsia="宋体" w:cs="宋体"/>
          <w:b/>
          <w:bCs/>
          <w:snapToGrid w:val="0"/>
          <w:color w:val="auto"/>
          <w:spacing w:val="0"/>
          <w:kern w:val="0"/>
          <w:sz w:val="21"/>
          <w:szCs w:val="21"/>
          <w:highlight w:val="none"/>
          <w:lang w:val="en-US" w:eastAsia="zh-CN" w:bidi="ar-SA"/>
        </w:rPr>
        <w:t>（2）</w:t>
      </w:r>
      <w:r>
        <w:rPr>
          <w:rFonts w:hint="eastAsia" w:ascii="宋体" w:hAnsi="宋体" w:eastAsia="宋体" w:cs="宋体"/>
          <w:b/>
          <w:bCs/>
          <w:snapToGrid w:val="0"/>
          <w:color w:val="auto"/>
          <w:spacing w:val="0"/>
          <w:kern w:val="0"/>
          <w:sz w:val="21"/>
          <w:szCs w:val="21"/>
          <w:highlight w:val="none"/>
          <w:lang w:val="en-US" w:eastAsia="en-US" w:bidi="ar-SA"/>
        </w:rPr>
        <w:t>拟投入本项目的服务团队(除技术负责人外)取得</w:t>
      </w:r>
      <w:r>
        <w:rPr>
          <w:rFonts w:hint="eastAsia" w:ascii="宋体" w:hAnsi="宋体" w:eastAsia="宋体" w:cs="宋体"/>
          <w:b/>
          <w:bCs/>
          <w:snapToGrid w:val="0"/>
          <w:color w:val="auto"/>
          <w:spacing w:val="0"/>
          <w:kern w:val="0"/>
          <w:sz w:val="21"/>
          <w:szCs w:val="21"/>
          <w:highlight w:val="none"/>
          <w:lang w:val="en-US" w:eastAsia="zh-CN" w:bidi="ar-SA"/>
        </w:rPr>
        <w:t>二级或以上</w:t>
      </w:r>
      <w:r>
        <w:rPr>
          <w:rFonts w:hint="eastAsia" w:ascii="宋体" w:hAnsi="宋体" w:eastAsia="宋体" w:cs="宋体"/>
          <w:b/>
          <w:bCs/>
          <w:snapToGrid w:val="0"/>
          <w:color w:val="auto"/>
          <w:spacing w:val="0"/>
          <w:kern w:val="0"/>
          <w:sz w:val="21"/>
          <w:szCs w:val="21"/>
          <w:highlight w:val="none"/>
          <w:lang w:val="en-US" w:eastAsia="en-US" w:bidi="ar-SA"/>
        </w:rPr>
        <w:t>造价工程师注册证书的人员应不少于</w:t>
      </w:r>
      <w:r>
        <w:rPr>
          <w:rFonts w:hint="eastAsia" w:ascii="宋体" w:hAnsi="宋体" w:eastAsia="宋体" w:cs="宋体"/>
          <w:b/>
          <w:bCs/>
          <w:snapToGrid w:val="0"/>
          <w:color w:val="auto"/>
          <w:spacing w:val="0"/>
          <w:kern w:val="0"/>
          <w:sz w:val="21"/>
          <w:szCs w:val="21"/>
          <w:highlight w:val="none"/>
          <w:lang w:val="en-US" w:eastAsia="zh-CN" w:bidi="ar-SA"/>
        </w:rPr>
        <w:t>6</w:t>
      </w:r>
      <w:r>
        <w:rPr>
          <w:rFonts w:hint="eastAsia" w:ascii="宋体" w:hAnsi="宋体" w:eastAsia="宋体" w:cs="宋体"/>
          <w:b/>
          <w:bCs/>
          <w:snapToGrid w:val="0"/>
          <w:color w:val="auto"/>
          <w:spacing w:val="0"/>
          <w:kern w:val="0"/>
          <w:sz w:val="21"/>
          <w:szCs w:val="21"/>
          <w:highlight w:val="none"/>
          <w:lang w:val="en-US" w:eastAsia="en-US" w:bidi="ar-SA"/>
        </w:rPr>
        <w:t>人。</w:t>
      </w:r>
    </w:p>
    <w:p w14:paraId="765C1075">
      <w:pPr>
        <w:keepNext w:val="0"/>
        <w:keepLines w:val="0"/>
        <w:pageBreakBefore w:val="0"/>
        <w:widowControl/>
        <w:kinsoku/>
        <w:wordWrap/>
        <w:overflowPunct/>
        <w:topLinePunct/>
        <w:autoSpaceDE/>
        <w:autoSpaceDN/>
        <w:bidi w:val="0"/>
        <w:adjustRightInd w:val="0"/>
        <w:snapToGrid w:val="0"/>
        <w:spacing w:line="360" w:lineRule="auto"/>
        <w:ind w:right="391" w:firstLine="419"/>
        <w:jc w:val="left"/>
        <w:textAlignment w:val="baseline"/>
        <w:outlineLvl w:val="9"/>
        <w:rPr>
          <w:rFonts w:hint="eastAsia" w:ascii="宋体" w:hAnsi="宋体" w:eastAsia="宋体" w:cs="宋体"/>
          <w:snapToGrid w:val="0"/>
          <w:color w:val="auto"/>
          <w:spacing w:val="0"/>
          <w:kern w:val="0"/>
          <w:sz w:val="21"/>
          <w:szCs w:val="21"/>
          <w:highlight w:val="none"/>
          <w:lang w:val="en-US" w:eastAsia="en-US" w:bidi="ar-SA"/>
        </w:rPr>
      </w:pPr>
      <w:r>
        <w:rPr>
          <w:rFonts w:hint="eastAsia" w:ascii="宋体" w:hAnsi="宋体" w:eastAsia="宋体" w:cs="宋体"/>
          <w:b/>
          <w:bCs/>
          <w:snapToGrid w:val="0"/>
          <w:color w:val="auto"/>
          <w:spacing w:val="0"/>
          <w:kern w:val="0"/>
          <w:sz w:val="21"/>
          <w:szCs w:val="21"/>
          <w:highlight w:val="none"/>
          <w:lang w:val="en-US" w:eastAsia="en-US" w:bidi="ar-SA"/>
        </w:rPr>
        <w:t>注：1、同一人员具备同一种类证书的仅按最高等级证书计算；2、</w:t>
      </w:r>
      <w:r>
        <w:rPr>
          <w:rFonts w:hint="eastAsia" w:ascii="宋体" w:hAnsi="宋体" w:eastAsia="宋体" w:cs="宋体"/>
          <w:b/>
          <w:bCs/>
          <w:color w:val="auto"/>
          <w:sz w:val="21"/>
          <w:szCs w:val="21"/>
          <w:highlight w:val="none"/>
        </w:rPr>
        <w:t>以上人员须提供</w:t>
      </w:r>
      <w:r>
        <w:rPr>
          <w:rFonts w:hint="eastAsia" w:ascii="宋体" w:hAnsi="宋体" w:eastAsia="宋体" w:cs="宋体"/>
          <w:b/>
          <w:bCs/>
          <w:color w:val="auto"/>
          <w:sz w:val="21"/>
          <w:szCs w:val="21"/>
          <w:highlight w:val="none"/>
          <w:lang w:val="en-US" w:eastAsia="zh-CN"/>
        </w:rPr>
        <w:t>以下证明材料复印件加盖投标人公章：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1）人员</w:t>
      </w:r>
      <w:r>
        <w:rPr>
          <w:rFonts w:hint="eastAsia" w:ascii="宋体" w:hAnsi="宋体" w:eastAsia="宋体" w:cs="宋体"/>
          <w:b/>
          <w:bCs/>
          <w:color w:val="auto"/>
          <w:sz w:val="21"/>
          <w:szCs w:val="21"/>
          <w:highlight w:val="none"/>
        </w:rPr>
        <w:t>身份证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造价工程师职业资格证书；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w:t>
      </w:r>
      <w:r>
        <w:rPr>
          <w:rFonts w:hint="eastAsia" w:ascii="宋体" w:hAnsi="宋体" w:eastAsia="宋体" w:cs="宋体"/>
          <w:b/>
          <w:bCs/>
          <w:color w:val="auto"/>
          <w:sz w:val="21"/>
          <w:szCs w:val="21"/>
          <w:highlight w:val="none"/>
        </w:rPr>
        <w:t>注册证书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或在“全国建筑市场</w:t>
      </w:r>
      <w:r>
        <w:rPr>
          <w:rFonts w:hint="eastAsia" w:ascii="宋体" w:hAnsi="宋体" w:eastAsia="宋体" w:cs="宋体"/>
          <w:b/>
          <w:bCs/>
          <w:color w:val="auto"/>
          <w:sz w:val="21"/>
          <w:szCs w:val="21"/>
          <w:highlight w:val="none"/>
          <w:lang w:val="en-US" w:eastAsia="zh-CN"/>
        </w:rPr>
        <w:t>监管</w:t>
      </w:r>
      <w:r>
        <w:rPr>
          <w:rFonts w:hint="eastAsia" w:ascii="宋体" w:hAnsi="宋体" w:eastAsia="宋体" w:cs="宋体"/>
          <w:b/>
          <w:bCs/>
          <w:color w:val="auto"/>
          <w:sz w:val="21"/>
          <w:szCs w:val="21"/>
          <w:highlight w:val="none"/>
        </w:rPr>
        <w:t>公共服务平台”</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网址：https://jzsc.mohurd.gov.cn/home</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上的执业注册信息截图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职称证书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人力资源和社会保障部门（或税务部门）出具</w:t>
      </w:r>
      <w:r>
        <w:rPr>
          <w:rFonts w:hint="eastAsia" w:ascii="宋体" w:hAnsi="宋体" w:eastAsia="宋体" w:cs="宋体"/>
          <w:b/>
          <w:bCs/>
          <w:color w:val="auto"/>
          <w:sz w:val="21"/>
          <w:szCs w:val="21"/>
          <w:highlight w:val="none"/>
        </w:rPr>
        <w:t>的202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Cs w:val="21"/>
          <w:highlight w:val="none"/>
        </w:rPr>
        <w:t>的投标人为其缴纳的社保证明</w:t>
      </w:r>
      <w:r>
        <w:rPr>
          <w:rFonts w:hint="eastAsia" w:ascii="宋体" w:hAnsi="宋体" w:eastAsia="宋体" w:cs="宋体"/>
          <w:b/>
          <w:bCs/>
          <w:color w:val="auto"/>
          <w:szCs w:val="21"/>
          <w:highlight w:val="none"/>
          <w:lang w:val="en-US" w:eastAsia="zh-CN"/>
        </w:rPr>
        <w:t>材料。</w:t>
      </w:r>
    </w:p>
    <w:p w14:paraId="132074EB">
      <w:pPr>
        <w:keepNext w:val="0"/>
        <w:keepLines w:val="0"/>
        <w:pageBreakBefore w:val="0"/>
        <w:widowControl/>
        <w:numPr>
          <w:ilvl w:val="0"/>
          <w:numId w:val="0"/>
        </w:numPr>
        <w:kinsoku/>
        <w:wordWrap/>
        <w:overflowPunct/>
        <w:topLinePunct/>
        <w:autoSpaceDE/>
        <w:autoSpaceDN/>
        <w:bidi w:val="0"/>
        <w:adjustRightInd w:val="0"/>
        <w:snapToGrid w:val="0"/>
        <w:spacing w:line="360" w:lineRule="auto"/>
        <w:ind w:right="391" w:firstLine="419"/>
        <w:jc w:val="left"/>
        <w:textAlignment w:val="baseline"/>
        <w:outlineLvl w:val="9"/>
        <w:rPr>
          <w:rFonts w:hint="eastAsia" w:ascii="宋体" w:hAnsi="宋体" w:eastAsia="宋体" w:cs="宋体"/>
          <w:b/>
          <w:bCs/>
          <w:snapToGrid w:val="0"/>
          <w:color w:val="auto"/>
          <w:spacing w:val="0"/>
          <w:kern w:val="0"/>
          <w:sz w:val="21"/>
          <w:szCs w:val="21"/>
          <w:highlight w:val="none"/>
          <w:lang w:val="en-US" w:eastAsia="en-US" w:bidi="ar-SA"/>
        </w:rPr>
      </w:pPr>
      <w:r>
        <w:rPr>
          <w:rFonts w:hint="eastAsia" w:ascii="宋体" w:hAnsi="宋体" w:eastAsia="宋体" w:cs="宋体"/>
          <w:b/>
          <w:color w:val="auto"/>
          <w:szCs w:val="21"/>
          <w:highlight w:val="none"/>
          <w:u w:val="none"/>
        </w:rPr>
        <w:t>★</w:t>
      </w:r>
      <w:r>
        <w:rPr>
          <w:rFonts w:hint="eastAsia" w:ascii="宋体" w:hAnsi="宋体" w:eastAsia="宋体" w:cs="宋体"/>
          <w:b/>
          <w:color w:val="auto"/>
          <w:szCs w:val="21"/>
          <w:highlight w:val="none"/>
          <w:u w:val="none"/>
          <w:lang w:val="en-US" w:eastAsia="zh-CN"/>
        </w:rPr>
        <w:t>六</w:t>
      </w:r>
      <w:r>
        <w:rPr>
          <w:rFonts w:hint="eastAsia" w:ascii="宋体" w:hAnsi="宋体" w:eastAsia="宋体" w:cs="宋体"/>
          <w:b/>
          <w:bCs/>
          <w:snapToGrid w:val="0"/>
          <w:color w:val="auto"/>
          <w:spacing w:val="0"/>
          <w:kern w:val="0"/>
          <w:sz w:val="21"/>
          <w:szCs w:val="21"/>
          <w:highlight w:val="none"/>
          <w:lang w:val="en-US" w:eastAsia="en-US" w:bidi="ar-SA"/>
        </w:rPr>
        <w:t>、</w:t>
      </w:r>
      <w:r>
        <w:rPr>
          <w:rFonts w:hint="eastAsia" w:ascii="宋体" w:hAnsi="宋体" w:eastAsia="宋体" w:cs="宋体"/>
          <w:b/>
          <w:bCs/>
          <w:snapToGrid w:val="0"/>
          <w:color w:val="auto"/>
          <w:kern w:val="0"/>
          <w:szCs w:val="21"/>
          <w:highlight w:val="none"/>
          <w:lang w:val="en-US" w:eastAsia="en-US"/>
        </w:rPr>
        <w:t>如</w:t>
      </w:r>
      <w:r>
        <w:rPr>
          <w:rFonts w:hint="eastAsia" w:ascii="宋体" w:hAnsi="宋体" w:eastAsia="宋体" w:cs="宋体"/>
          <w:b/>
          <w:bCs/>
          <w:snapToGrid w:val="0"/>
          <w:color w:val="auto"/>
          <w:spacing w:val="0"/>
          <w:kern w:val="0"/>
          <w:sz w:val="21"/>
          <w:szCs w:val="21"/>
          <w:highlight w:val="none"/>
          <w:lang w:val="en-US" w:eastAsia="en-US" w:bidi="ar-SA"/>
        </w:rPr>
        <w:t>投标人</w:t>
      </w:r>
      <w:r>
        <w:rPr>
          <w:rFonts w:hint="eastAsia" w:ascii="宋体" w:hAnsi="宋体" w:eastAsia="宋体" w:cs="宋体"/>
          <w:b/>
          <w:bCs/>
          <w:snapToGrid w:val="0"/>
          <w:color w:val="auto"/>
          <w:spacing w:val="0"/>
          <w:kern w:val="0"/>
          <w:sz w:val="21"/>
          <w:szCs w:val="21"/>
          <w:highlight w:val="none"/>
          <w:lang w:val="en-US" w:eastAsia="zh-CN" w:bidi="ar-SA"/>
        </w:rPr>
        <w:t>在提交投标文件截止时间前在东莞市住房和城乡建设局完成企业信息档案登记（企业类型必须为：工程造价咨询机构），须提供东莞市住房和城乡建设局企业信息查询系统查询截图加盖投标人公章</w:t>
      </w:r>
      <w:r>
        <w:rPr>
          <w:rFonts w:hint="eastAsia" w:ascii="宋体" w:hAnsi="宋体" w:eastAsia="宋体" w:cs="宋体"/>
          <w:b/>
          <w:bCs/>
          <w:snapToGrid w:val="0"/>
          <w:color w:val="auto"/>
          <w:spacing w:val="0"/>
          <w:kern w:val="0"/>
          <w:sz w:val="21"/>
          <w:szCs w:val="21"/>
          <w:highlight w:val="none"/>
          <w:lang w:val="en-US" w:eastAsia="en-US" w:bidi="ar-SA"/>
        </w:rPr>
        <w:t>。若</w:t>
      </w:r>
      <w:r>
        <w:rPr>
          <w:rFonts w:hint="eastAsia" w:ascii="宋体" w:hAnsi="宋体" w:eastAsia="宋体" w:cs="宋体"/>
          <w:b/>
          <w:bCs/>
          <w:snapToGrid w:val="0"/>
          <w:color w:val="auto"/>
          <w:spacing w:val="0"/>
          <w:kern w:val="0"/>
          <w:sz w:val="21"/>
          <w:szCs w:val="21"/>
          <w:highlight w:val="none"/>
          <w:lang w:val="en-US" w:eastAsia="zh-CN" w:bidi="ar-SA"/>
        </w:rPr>
        <w:t>投标人在提交投标文件截止时间前</w:t>
      </w:r>
      <w:r>
        <w:rPr>
          <w:rFonts w:hint="eastAsia" w:ascii="宋体" w:hAnsi="宋体" w:eastAsia="宋体" w:cs="宋体"/>
          <w:b/>
          <w:bCs/>
          <w:snapToGrid w:val="0"/>
          <w:color w:val="auto"/>
          <w:spacing w:val="0"/>
          <w:kern w:val="0"/>
          <w:sz w:val="21"/>
          <w:szCs w:val="21"/>
          <w:highlight w:val="none"/>
          <w:lang w:val="en-US" w:eastAsia="en-US" w:bidi="ar-SA"/>
        </w:rPr>
        <w:t>尚未在</w:t>
      </w:r>
      <w:r>
        <w:rPr>
          <w:rFonts w:hint="eastAsia" w:ascii="宋体" w:hAnsi="宋体" w:eastAsia="宋体" w:cs="宋体"/>
          <w:b/>
          <w:bCs/>
          <w:snapToGrid w:val="0"/>
          <w:color w:val="auto"/>
          <w:spacing w:val="0"/>
          <w:kern w:val="0"/>
          <w:sz w:val="21"/>
          <w:szCs w:val="21"/>
          <w:highlight w:val="none"/>
          <w:lang w:val="en-US" w:eastAsia="zh-CN" w:bidi="ar-SA"/>
        </w:rPr>
        <w:t>东莞市住房和城乡建设局企业信息查询系统</w:t>
      </w:r>
      <w:r>
        <w:rPr>
          <w:rFonts w:hint="eastAsia" w:ascii="宋体" w:hAnsi="宋体" w:eastAsia="宋体" w:cs="宋体"/>
          <w:b/>
          <w:bCs/>
          <w:snapToGrid w:val="0"/>
          <w:color w:val="auto"/>
          <w:spacing w:val="0"/>
          <w:kern w:val="0"/>
          <w:sz w:val="21"/>
          <w:szCs w:val="21"/>
          <w:highlight w:val="none"/>
          <w:lang w:val="en-US" w:eastAsia="en-US" w:bidi="ar-SA"/>
        </w:rPr>
        <w:t>有本项目对应的企业类型</w:t>
      </w:r>
      <w:r>
        <w:rPr>
          <w:rFonts w:hint="eastAsia" w:ascii="宋体" w:hAnsi="宋体" w:eastAsia="宋体" w:cs="宋体"/>
          <w:b/>
          <w:bCs/>
          <w:snapToGrid w:val="0"/>
          <w:color w:val="auto"/>
          <w:spacing w:val="0"/>
          <w:kern w:val="0"/>
          <w:sz w:val="21"/>
          <w:szCs w:val="21"/>
          <w:highlight w:val="none"/>
          <w:lang w:val="en-US" w:eastAsia="zh-CN" w:bidi="ar-SA"/>
        </w:rPr>
        <w:t>（工程造价咨询机构）</w:t>
      </w:r>
      <w:r>
        <w:rPr>
          <w:rFonts w:hint="eastAsia" w:ascii="宋体" w:hAnsi="宋体" w:eastAsia="宋体" w:cs="宋体"/>
          <w:b/>
          <w:bCs/>
          <w:snapToGrid w:val="0"/>
          <w:color w:val="auto"/>
          <w:spacing w:val="0"/>
          <w:kern w:val="0"/>
          <w:sz w:val="21"/>
          <w:szCs w:val="21"/>
          <w:highlight w:val="none"/>
          <w:lang w:val="en-US" w:eastAsia="en-US" w:bidi="ar-SA"/>
        </w:rPr>
        <w:t>信用信息档案</w:t>
      </w:r>
      <w:r>
        <w:rPr>
          <w:rFonts w:hint="eastAsia" w:ascii="宋体" w:hAnsi="宋体" w:eastAsia="宋体" w:cs="宋体"/>
          <w:b/>
          <w:bCs/>
          <w:snapToGrid w:val="0"/>
          <w:color w:val="auto"/>
          <w:spacing w:val="0"/>
          <w:kern w:val="0"/>
          <w:sz w:val="21"/>
          <w:szCs w:val="21"/>
          <w:highlight w:val="none"/>
          <w:lang w:val="en-US" w:eastAsia="zh-CN" w:bidi="ar-SA"/>
        </w:rPr>
        <w:t>的，须承诺</w:t>
      </w:r>
      <w:r>
        <w:rPr>
          <w:rFonts w:hint="eastAsia" w:ascii="宋体" w:hAnsi="宋体" w:eastAsia="宋体" w:cs="宋体"/>
          <w:b/>
          <w:bCs/>
          <w:snapToGrid w:val="0"/>
          <w:color w:val="auto"/>
          <w:spacing w:val="0"/>
          <w:kern w:val="0"/>
          <w:sz w:val="21"/>
          <w:szCs w:val="21"/>
          <w:highlight w:val="none"/>
          <w:lang w:val="en-US" w:eastAsia="en-US" w:bidi="ar-SA"/>
        </w:rPr>
        <w:t>在中标后一个月内到</w:t>
      </w:r>
      <w:r>
        <w:rPr>
          <w:rFonts w:hint="eastAsia" w:ascii="宋体" w:hAnsi="宋体" w:eastAsia="宋体" w:cs="宋体"/>
          <w:b/>
          <w:bCs/>
          <w:snapToGrid w:val="0"/>
          <w:color w:val="auto"/>
          <w:spacing w:val="0"/>
          <w:kern w:val="0"/>
          <w:sz w:val="21"/>
          <w:szCs w:val="21"/>
          <w:highlight w:val="none"/>
          <w:lang w:val="en-US" w:eastAsia="zh-CN" w:bidi="ar-SA"/>
        </w:rPr>
        <w:t>东莞市住房和城乡建设局</w:t>
      </w:r>
      <w:r>
        <w:rPr>
          <w:rFonts w:hint="eastAsia" w:ascii="宋体" w:hAnsi="宋体" w:eastAsia="宋体" w:cs="宋体"/>
          <w:b/>
          <w:bCs/>
          <w:snapToGrid w:val="0"/>
          <w:color w:val="auto"/>
          <w:spacing w:val="0"/>
          <w:kern w:val="0"/>
          <w:sz w:val="21"/>
          <w:szCs w:val="21"/>
          <w:highlight w:val="none"/>
          <w:lang w:val="en-US" w:eastAsia="en-US" w:bidi="ar-SA"/>
        </w:rPr>
        <w:t>办理好本项目对应的企业类型</w:t>
      </w:r>
      <w:r>
        <w:rPr>
          <w:rFonts w:hint="eastAsia" w:ascii="宋体" w:hAnsi="宋体" w:eastAsia="宋体" w:cs="宋体"/>
          <w:b/>
          <w:bCs/>
          <w:snapToGrid w:val="0"/>
          <w:color w:val="auto"/>
          <w:spacing w:val="0"/>
          <w:kern w:val="0"/>
          <w:sz w:val="21"/>
          <w:szCs w:val="21"/>
          <w:highlight w:val="none"/>
          <w:lang w:val="en-US" w:eastAsia="zh-CN" w:bidi="ar-SA"/>
        </w:rPr>
        <w:t>（工程造价咨询机构）</w:t>
      </w:r>
      <w:r>
        <w:rPr>
          <w:rFonts w:hint="eastAsia" w:ascii="宋体" w:hAnsi="宋体" w:eastAsia="宋体" w:cs="宋体"/>
          <w:b/>
          <w:bCs/>
          <w:snapToGrid w:val="0"/>
          <w:color w:val="auto"/>
          <w:spacing w:val="0"/>
          <w:kern w:val="0"/>
          <w:sz w:val="21"/>
          <w:szCs w:val="21"/>
          <w:highlight w:val="none"/>
          <w:lang w:val="en-US" w:eastAsia="en-US" w:bidi="ar-SA"/>
        </w:rPr>
        <w:t>信用信息档案，否则视为放弃中标(</w:t>
      </w:r>
      <w:r>
        <w:rPr>
          <w:rFonts w:hint="eastAsia" w:ascii="宋体" w:hAnsi="宋体" w:eastAsia="宋体" w:cs="宋体"/>
          <w:b/>
          <w:bCs/>
          <w:snapToGrid w:val="0"/>
          <w:color w:val="auto"/>
          <w:spacing w:val="0"/>
          <w:kern w:val="0"/>
          <w:sz w:val="21"/>
          <w:szCs w:val="21"/>
          <w:highlight w:val="none"/>
          <w:lang w:val="en-US" w:eastAsia="zh-CN" w:bidi="ar-SA"/>
        </w:rPr>
        <w:t>注：</w:t>
      </w:r>
      <w:r>
        <w:rPr>
          <w:rFonts w:hint="eastAsia" w:ascii="宋体" w:hAnsi="宋体" w:eastAsia="宋体" w:cs="宋体"/>
          <w:b/>
          <w:bCs/>
          <w:snapToGrid w:val="0"/>
          <w:color w:val="auto"/>
          <w:spacing w:val="0"/>
          <w:kern w:val="0"/>
          <w:sz w:val="21"/>
          <w:szCs w:val="21"/>
          <w:highlight w:val="none"/>
          <w:lang w:val="en-US" w:eastAsia="en-US" w:bidi="ar-SA"/>
        </w:rPr>
        <w:t>须提供承诺函加盖投标人公章) 。</w:t>
      </w:r>
    </w:p>
    <w:p w14:paraId="711BEC7D">
      <w:pPr>
        <w:widowControl/>
        <w:topLinePunct/>
        <w:adjustRightInd w:val="0"/>
        <w:snapToGrid w:val="0"/>
        <w:spacing w:line="360" w:lineRule="auto"/>
        <w:ind w:right="391" w:firstLine="419"/>
        <w:jc w:val="left"/>
        <w:textAlignment w:val="baseline"/>
        <w:outlineLvl w:val="9"/>
        <w:rPr>
          <w:rFonts w:hint="eastAsia" w:ascii="宋体" w:hAnsi="宋体" w:eastAsia="宋体" w:cs="宋体"/>
          <w:b/>
          <w:bCs/>
          <w:snapToGrid w:val="0"/>
          <w:color w:val="auto"/>
          <w:spacing w:val="0"/>
          <w:kern w:val="0"/>
          <w:sz w:val="21"/>
          <w:szCs w:val="21"/>
          <w:highlight w:val="none"/>
          <w:lang w:val="en-US" w:eastAsia="zh-CN" w:bidi="ar-SA"/>
        </w:rPr>
      </w:pPr>
      <w:r>
        <w:rPr>
          <w:rFonts w:hint="eastAsia" w:ascii="宋体" w:hAnsi="宋体" w:eastAsia="宋体" w:cs="宋体"/>
          <w:b/>
          <w:color w:val="auto"/>
          <w:szCs w:val="21"/>
          <w:highlight w:val="none"/>
          <w:u w:val="none"/>
        </w:rPr>
        <w:t>★</w:t>
      </w:r>
      <w:r>
        <w:rPr>
          <w:rFonts w:hint="eastAsia" w:ascii="宋体" w:hAnsi="宋体" w:eastAsia="宋体" w:cs="宋体"/>
          <w:b/>
          <w:bCs/>
          <w:snapToGrid w:val="0"/>
          <w:color w:val="auto"/>
          <w:spacing w:val="0"/>
          <w:kern w:val="0"/>
          <w:sz w:val="21"/>
          <w:szCs w:val="21"/>
          <w:highlight w:val="none"/>
          <w:lang w:val="en-US" w:eastAsia="zh-CN" w:bidi="ar-SA"/>
        </w:rPr>
        <w:t>七、</w:t>
      </w:r>
      <w:r>
        <w:rPr>
          <w:rFonts w:hint="eastAsia" w:ascii="宋体" w:hAnsi="宋体" w:eastAsia="宋体" w:cs="宋体"/>
          <w:b/>
          <w:bCs/>
          <w:snapToGrid w:val="0"/>
          <w:color w:val="auto"/>
          <w:spacing w:val="0"/>
          <w:kern w:val="0"/>
          <w:sz w:val="21"/>
          <w:szCs w:val="21"/>
          <w:highlight w:val="none"/>
          <w:lang w:val="en-US" w:eastAsia="en-US" w:bidi="ar-SA"/>
        </w:rPr>
        <w:t>招标结果公示期间，招标人有权核查中标候选人办公场所、设备以及拟投入服务人员情况，如与造价咨询服务单位投标文件不相符，招标人有权取消其中标资格，并根据评标委员会推荐顺序确定其他中标人(</w:t>
      </w:r>
      <w:r>
        <w:rPr>
          <w:rFonts w:hint="eastAsia" w:ascii="宋体" w:hAnsi="宋体" w:eastAsia="宋体" w:cs="宋体"/>
          <w:b/>
          <w:bCs/>
          <w:snapToGrid w:val="0"/>
          <w:color w:val="auto"/>
          <w:spacing w:val="0"/>
          <w:kern w:val="0"/>
          <w:sz w:val="21"/>
          <w:szCs w:val="21"/>
          <w:highlight w:val="none"/>
          <w:lang w:val="en-US" w:eastAsia="zh-CN" w:bidi="ar-SA"/>
        </w:rPr>
        <w:t>注：</w:t>
      </w:r>
      <w:r>
        <w:rPr>
          <w:rFonts w:hint="eastAsia" w:ascii="宋体" w:hAnsi="宋体" w:eastAsia="宋体" w:cs="宋体"/>
          <w:b/>
          <w:bCs/>
          <w:snapToGrid w:val="0"/>
          <w:color w:val="auto"/>
          <w:spacing w:val="0"/>
          <w:kern w:val="0"/>
          <w:sz w:val="21"/>
          <w:szCs w:val="21"/>
          <w:highlight w:val="none"/>
          <w:lang w:val="en-US" w:eastAsia="en-US" w:bidi="ar-SA"/>
        </w:rPr>
        <w:t>须提供承诺函加盖投标人公章)</w:t>
      </w:r>
      <w:r>
        <w:rPr>
          <w:rFonts w:hint="eastAsia" w:ascii="宋体" w:hAnsi="宋体" w:eastAsia="宋体" w:cs="宋体"/>
          <w:b/>
          <w:bCs/>
          <w:snapToGrid w:val="0"/>
          <w:color w:val="auto"/>
          <w:spacing w:val="0"/>
          <w:kern w:val="0"/>
          <w:sz w:val="21"/>
          <w:szCs w:val="21"/>
          <w:highlight w:val="none"/>
          <w:lang w:val="en-US" w:eastAsia="zh-CN" w:bidi="ar-SA"/>
        </w:rPr>
        <w:t>。</w:t>
      </w:r>
    </w:p>
    <w:p w14:paraId="0E62F5EA">
      <w:pPr>
        <w:outlineLvl w:val="9"/>
        <w:rPr>
          <w:rFonts w:hint="eastAsia"/>
          <w:color w:val="auto"/>
          <w:lang w:eastAsia="zh-CN"/>
        </w:rPr>
      </w:pPr>
    </w:p>
    <w:p w14:paraId="41E22CBD">
      <w:pPr>
        <w:pStyle w:val="18"/>
        <w:keepNext w:val="0"/>
        <w:keepLines w:val="0"/>
        <w:pageBreakBefore w:val="0"/>
        <w:widowControl/>
        <w:kinsoku/>
        <w:wordWrap/>
        <w:overflowPunct/>
        <w:topLinePunct/>
        <w:autoSpaceDE/>
        <w:autoSpaceDN/>
        <w:bidi w:val="0"/>
        <w:adjustRightInd w:val="0"/>
        <w:snapToGrid w:val="0"/>
        <w:spacing w:line="360" w:lineRule="auto"/>
        <w:ind w:left="20"/>
        <w:jc w:val="left"/>
        <w:textAlignment w:val="baseline"/>
        <w:outlineLvl w:val="9"/>
        <w:rPr>
          <w:rFonts w:hint="eastAsia" w:ascii="宋体" w:hAnsi="宋体" w:eastAsia="宋体" w:cs="宋体"/>
          <w:color w:val="auto"/>
          <w:spacing w:val="0"/>
          <w:sz w:val="21"/>
          <w:szCs w:val="21"/>
          <w:highlight w:val="none"/>
          <w:lang w:val="en-US" w:eastAsia="zh-CN"/>
        </w:rPr>
        <w:sectPr>
          <w:footerReference r:id="rId4" w:type="first"/>
          <w:footerReference r:id="rId3" w:type="default"/>
          <w:pgSz w:w="11906" w:h="16838"/>
          <w:pgMar w:top="1191" w:right="1043" w:bottom="1191" w:left="1043" w:header="720" w:footer="720" w:gutter="0"/>
          <w:cols w:space="720" w:num="1"/>
          <w:titlePg/>
          <w:docGrid w:linePitch="326" w:charSpace="0"/>
        </w:sectPr>
      </w:pPr>
    </w:p>
    <w:p w14:paraId="0FD5789E">
      <w:pPr>
        <w:pStyle w:val="18"/>
        <w:keepNext w:val="0"/>
        <w:keepLines w:val="0"/>
        <w:pageBreakBefore w:val="0"/>
        <w:widowControl/>
        <w:kinsoku/>
        <w:wordWrap/>
        <w:overflowPunct/>
        <w:topLinePunct/>
        <w:autoSpaceDE/>
        <w:autoSpaceDN/>
        <w:bidi w:val="0"/>
        <w:adjustRightInd w:val="0"/>
        <w:snapToGrid w:val="0"/>
        <w:spacing w:line="360" w:lineRule="auto"/>
        <w:ind w:left="20"/>
        <w:jc w:val="left"/>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附件</w:t>
      </w:r>
      <w:r>
        <w:rPr>
          <w:rFonts w:hint="eastAsia" w:hAnsi="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val="en-US" w:eastAsia="zh-CN"/>
        </w:rPr>
        <w:t>：</w:t>
      </w:r>
    </w:p>
    <w:p w14:paraId="646482CE">
      <w:pPr>
        <w:pStyle w:val="18"/>
        <w:keepNext w:val="0"/>
        <w:keepLines w:val="0"/>
        <w:pageBreakBefore w:val="0"/>
        <w:widowControl/>
        <w:kinsoku/>
        <w:wordWrap/>
        <w:overflowPunct/>
        <w:topLinePunct/>
        <w:autoSpaceDE/>
        <w:autoSpaceDN/>
        <w:bidi w:val="0"/>
        <w:adjustRightInd w:val="0"/>
        <w:snapToGrid w:val="0"/>
        <w:spacing w:line="360" w:lineRule="auto"/>
        <w:ind w:left="20"/>
        <w:jc w:val="center"/>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color w:val="auto"/>
          <w:spacing w:val="0"/>
          <w:sz w:val="21"/>
          <w:szCs w:val="21"/>
          <w:highlight w:val="none"/>
          <w:lang w:val="en-US" w:eastAsia="zh-CN"/>
        </w:rPr>
        <w:t>广东省建设工程造价咨询服务收费项目和收费标准表</w:t>
      </w:r>
      <w:r>
        <w:rPr>
          <w:rFonts w:hint="eastAsia" w:ascii="宋体" w:hAnsi="宋体" w:eastAsia="宋体" w:cs="宋体"/>
          <w:color w:val="auto"/>
          <w:spacing w:val="0"/>
          <w:sz w:val="21"/>
          <w:szCs w:val="21"/>
          <w:highlight w:val="none"/>
          <w:lang w:val="en-US" w:eastAsia="zh-CN"/>
        </w:rPr>
        <w:t>(粤价函</w:t>
      </w:r>
      <w:r>
        <w:rPr>
          <w:rFonts w:hint="eastAsia" w:ascii="微软雅黑" w:hAnsi="微软雅黑" w:eastAsia="微软雅黑" w:cs="微软雅黑"/>
          <w:color w:val="auto"/>
          <w:spacing w:val="0"/>
          <w:sz w:val="21"/>
          <w:szCs w:val="21"/>
          <w:highlight w:val="none"/>
          <w:lang w:val="en-US" w:eastAsia="zh-CN"/>
        </w:rPr>
        <w:t>〔</w:t>
      </w:r>
      <w:r>
        <w:rPr>
          <w:rFonts w:hint="eastAsia" w:ascii="宋体" w:hAnsi="宋体" w:eastAsia="宋体" w:cs="宋体"/>
          <w:color w:val="auto"/>
          <w:spacing w:val="0"/>
          <w:sz w:val="21"/>
          <w:szCs w:val="21"/>
          <w:highlight w:val="none"/>
          <w:lang w:val="en-US" w:eastAsia="zh-CN"/>
        </w:rPr>
        <w:t>2011</w:t>
      </w:r>
      <w:r>
        <w:rPr>
          <w:rFonts w:hint="eastAsia" w:ascii="微软雅黑" w:hAnsi="微软雅黑" w:eastAsia="微软雅黑" w:cs="微软雅黑"/>
          <w:color w:val="auto"/>
          <w:spacing w:val="0"/>
          <w:sz w:val="21"/>
          <w:szCs w:val="21"/>
          <w:highlight w:val="none"/>
          <w:lang w:val="en-US" w:eastAsia="zh-CN"/>
        </w:rPr>
        <w:t>〕</w:t>
      </w:r>
      <w:r>
        <w:rPr>
          <w:rFonts w:hint="eastAsia" w:ascii="宋体" w:hAnsi="宋体" w:eastAsia="宋体" w:cs="宋体"/>
          <w:color w:val="auto"/>
          <w:spacing w:val="0"/>
          <w:sz w:val="21"/>
          <w:szCs w:val="21"/>
          <w:highlight w:val="none"/>
          <w:lang w:val="en-US" w:eastAsia="zh-CN"/>
        </w:rPr>
        <w:t>742号)</w:t>
      </w:r>
    </w:p>
    <w:tbl>
      <w:tblPr>
        <w:tblStyle w:val="37"/>
        <w:tblW w:w="5007" w:type="pct"/>
        <w:tblInd w:w="0" w:type="dxa"/>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autofit"/>
        <w:tblCellMar>
          <w:top w:w="0" w:type="dxa"/>
          <w:left w:w="0" w:type="dxa"/>
          <w:bottom w:w="0" w:type="dxa"/>
          <w:right w:w="0" w:type="dxa"/>
        </w:tblCellMar>
      </w:tblPr>
      <w:tblGrid>
        <w:gridCol w:w="597"/>
        <w:gridCol w:w="461"/>
        <w:gridCol w:w="385"/>
        <w:gridCol w:w="826"/>
        <w:gridCol w:w="2536"/>
        <w:gridCol w:w="1101"/>
        <w:gridCol w:w="1197"/>
        <w:gridCol w:w="1119"/>
        <w:gridCol w:w="1278"/>
        <w:gridCol w:w="1435"/>
        <w:gridCol w:w="1139"/>
        <w:gridCol w:w="1104"/>
        <w:gridCol w:w="1311"/>
      </w:tblGrid>
      <w:tr w14:paraId="1ECFD907">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390" w:hRule="atLeast"/>
        </w:trPr>
        <w:tc>
          <w:tcPr>
            <w:tcW w:w="206" w:type="pct"/>
            <w:vMerge w:val="restart"/>
            <w:tcBorders>
              <w:top w:val="single" w:color="auto" w:sz="4" w:space="0"/>
              <w:left w:val="single" w:color="auto" w:sz="4" w:space="0"/>
              <w:bottom w:val="single" w:color="auto" w:sz="4" w:space="0"/>
              <w:right w:val="single" w:color="auto" w:sz="4" w:space="0"/>
            </w:tcBorders>
            <w:vAlign w:val="center"/>
          </w:tcPr>
          <w:p w14:paraId="5793386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577" w:type="pct"/>
            <w:gridSpan w:val="3"/>
            <w:vMerge w:val="restart"/>
            <w:tcBorders>
              <w:top w:val="single" w:color="auto" w:sz="4" w:space="0"/>
              <w:left w:val="single" w:color="auto" w:sz="4" w:space="0"/>
              <w:bottom w:val="single" w:color="auto" w:sz="4" w:space="0"/>
              <w:right w:val="single" w:color="auto" w:sz="4" w:space="0"/>
            </w:tcBorders>
            <w:vAlign w:val="center"/>
          </w:tcPr>
          <w:p w14:paraId="71AF215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咨 询 项 目 名 称</w:t>
            </w:r>
          </w:p>
        </w:tc>
        <w:tc>
          <w:tcPr>
            <w:tcW w:w="875" w:type="pct"/>
            <w:vMerge w:val="restart"/>
            <w:tcBorders>
              <w:top w:val="inset" w:color="333333" w:sz="6" w:space="0"/>
              <w:left w:val="single" w:color="auto" w:sz="4" w:space="0"/>
              <w:bottom w:val="inset" w:color="333333" w:sz="6" w:space="0"/>
              <w:right w:val="inset" w:color="333333" w:sz="6" w:space="0"/>
            </w:tcBorders>
            <w:vAlign w:val="center"/>
          </w:tcPr>
          <w:p w14:paraId="698EB90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服务内容</w:t>
            </w:r>
          </w:p>
        </w:tc>
        <w:tc>
          <w:tcPr>
            <w:tcW w:w="380" w:type="pct"/>
            <w:vMerge w:val="restart"/>
            <w:tcBorders>
              <w:top w:val="inset" w:color="333333" w:sz="6" w:space="0"/>
              <w:left w:val="nil"/>
              <w:bottom w:val="inset" w:color="333333" w:sz="6" w:space="0"/>
              <w:right w:val="inset" w:color="333333" w:sz="6" w:space="0"/>
            </w:tcBorders>
            <w:vAlign w:val="center"/>
          </w:tcPr>
          <w:p w14:paraId="027DB65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收 费 基 数</w:t>
            </w:r>
          </w:p>
        </w:tc>
        <w:tc>
          <w:tcPr>
            <w:tcW w:w="2507" w:type="pct"/>
            <w:gridSpan w:val="6"/>
            <w:tcBorders>
              <w:top w:val="inset" w:color="333333" w:sz="6" w:space="0"/>
              <w:left w:val="nil"/>
              <w:bottom w:val="inset" w:color="333333" w:sz="6" w:space="0"/>
              <w:right w:val="inset" w:color="333333" w:sz="6" w:space="0"/>
            </w:tcBorders>
            <w:vAlign w:val="center"/>
          </w:tcPr>
          <w:p w14:paraId="148B0C4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最高收费标准</w:t>
            </w:r>
          </w:p>
        </w:tc>
        <w:tc>
          <w:tcPr>
            <w:tcW w:w="452" w:type="pct"/>
            <w:vMerge w:val="restart"/>
            <w:tcBorders>
              <w:top w:val="inset" w:color="333333" w:sz="6" w:space="0"/>
              <w:left w:val="nil"/>
              <w:bottom w:val="inset" w:color="333333" w:sz="6" w:space="0"/>
              <w:right w:val="inset" w:color="333333" w:sz="6" w:space="0"/>
            </w:tcBorders>
            <w:vAlign w:val="center"/>
          </w:tcPr>
          <w:p w14:paraId="20BB5A2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备注</w:t>
            </w:r>
          </w:p>
        </w:tc>
      </w:tr>
      <w:tr w14:paraId="2C712BDC">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444" w:hRule="atLeast"/>
        </w:trPr>
        <w:tc>
          <w:tcPr>
            <w:tcW w:w="206" w:type="pct"/>
            <w:vMerge w:val="continue"/>
            <w:tcBorders>
              <w:top w:val="single" w:color="auto" w:sz="4" w:space="0"/>
              <w:left w:val="single" w:color="auto" w:sz="4" w:space="0"/>
              <w:bottom w:val="single" w:color="auto" w:sz="4" w:space="0"/>
              <w:right w:val="single" w:color="auto" w:sz="4" w:space="0"/>
            </w:tcBorders>
            <w:vAlign w:val="center"/>
          </w:tcPr>
          <w:p w14:paraId="2981144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577" w:type="pct"/>
            <w:gridSpan w:val="3"/>
            <w:vMerge w:val="continue"/>
            <w:tcBorders>
              <w:top w:val="single" w:color="auto" w:sz="4" w:space="0"/>
              <w:left w:val="single" w:color="auto" w:sz="4" w:space="0"/>
              <w:bottom w:val="single" w:color="auto" w:sz="4" w:space="0"/>
              <w:right w:val="single" w:color="auto" w:sz="4" w:space="0"/>
            </w:tcBorders>
            <w:vAlign w:val="center"/>
          </w:tcPr>
          <w:p w14:paraId="32F401B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875" w:type="pct"/>
            <w:vMerge w:val="continue"/>
            <w:tcBorders>
              <w:top w:val="inset" w:color="333333" w:sz="6" w:space="0"/>
              <w:left w:val="single" w:color="auto" w:sz="4" w:space="0"/>
              <w:bottom w:val="inset" w:color="333333" w:sz="6" w:space="0"/>
              <w:right w:val="inset" w:color="333333" w:sz="6" w:space="0"/>
            </w:tcBorders>
            <w:vAlign w:val="center"/>
          </w:tcPr>
          <w:p w14:paraId="401D2EB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380" w:type="pct"/>
            <w:vMerge w:val="continue"/>
            <w:tcBorders>
              <w:top w:val="inset" w:color="333333" w:sz="6" w:space="0"/>
              <w:left w:val="nil"/>
              <w:bottom w:val="inset" w:color="333333" w:sz="6" w:space="0"/>
              <w:right w:val="inset" w:color="333333" w:sz="6" w:space="0"/>
            </w:tcBorders>
            <w:vAlign w:val="center"/>
          </w:tcPr>
          <w:p w14:paraId="0897F8A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413" w:type="pct"/>
            <w:tcBorders>
              <w:top w:val="inset" w:color="333333" w:sz="6" w:space="0"/>
              <w:left w:val="nil"/>
              <w:bottom w:val="inset" w:color="333333" w:sz="6" w:space="0"/>
              <w:right w:val="inset" w:color="333333" w:sz="6" w:space="0"/>
            </w:tcBorders>
            <w:vAlign w:val="center"/>
          </w:tcPr>
          <w:p w14:paraId="021AE7B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100万元以内</w:t>
            </w:r>
          </w:p>
        </w:tc>
        <w:tc>
          <w:tcPr>
            <w:tcW w:w="386" w:type="pct"/>
            <w:tcBorders>
              <w:top w:val="inset" w:color="333333" w:sz="6" w:space="0"/>
              <w:left w:val="nil"/>
              <w:bottom w:val="inset" w:color="333333" w:sz="6" w:space="0"/>
              <w:right w:val="inset" w:color="333333" w:sz="6" w:space="0"/>
            </w:tcBorders>
            <w:vAlign w:val="center"/>
          </w:tcPr>
          <w:p w14:paraId="3CADDF0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101-500</w:t>
            </w:r>
          </w:p>
          <w:p w14:paraId="432A86CB">
            <w:pPr>
              <w:pStyle w:val="18"/>
              <w:rPr>
                <w:rFonts w:hint="eastAsia"/>
                <w:color w:val="auto"/>
                <w:lang w:eastAsia="zh-CN"/>
              </w:rPr>
            </w:pPr>
          </w:p>
          <w:p w14:paraId="5854BAC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万元</w:t>
            </w:r>
          </w:p>
        </w:tc>
        <w:tc>
          <w:tcPr>
            <w:tcW w:w="441" w:type="pct"/>
            <w:tcBorders>
              <w:top w:val="inset" w:color="333333" w:sz="6" w:space="0"/>
              <w:left w:val="nil"/>
              <w:bottom w:val="inset" w:color="333333" w:sz="6" w:space="0"/>
              <w:right w:val="inset" w:color="333333" w:sz="6" w:space="0"/>
            </w:tcBorders>
            <w:vAlign w:val="center"/>
          </w:tcPr>
          <w:p w14:paraId="7749759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501-1000</w:t>
            </w:r>
          </w:p>
          <w:p w14:paraId="56BD4E0E">
            <w:pPr>
              <w:pStyle w:val="18"/>
              <w:rPr>
                <w:rFonts w:hint="eastAsia"/>
                <w:color w:val="auto"/>
                <w:lang w:eastAsia="zh-CN"/>
              </w:rPr>
            </w:pPr>
          </w:p>
          <w:p w14:paraId="1227E22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万元</w:t>
            </w:r>
          </w:p>
        </w:tc>
        <w:tc>
          <w:tcPr>
            <w:tcW w:w="495" w:type="pct"/>
            <w:tcBorders>
              <w:top w:val="inset" w:color="333333" w:sz="6" w:space="0"/>
              <w:left w:val="nil"/>
              <w:bottom w:val="inset" w:color="333333" w:sz="6" w:space="0"/>
              <w:right w:val="inset" w:color="333333" w:sz="6" w:space="0"/>
            </w:tcBorders>
            <w:vAlign w:val="center"/>
          </w:tcPr>
          <w:p w14:paraId="2138307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1001-5000</w:t>
            </w:r>
          </w:p>
          <w:p w14:paraId="62D92AD8">
            <w:pPr>
              <w:pStyle w:val="18"/>
              <w:rPr>
                <w:rFonts w:hint="eastAsia"/>
                <w:color w:val="auto"/>
                <w:lang w:eastAsia="zh-CN"/>
              </w:rPr>
            </w:pPr>
          </w:p>
          <w:p w14:paraId="614EF38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万元</w:t>
            </w:r>
          </w:p>
        </w:tc>
        <w:tc>
          <w:tcPr>
            <w:tcW w:w="393" w:type="pct"/>
            <w:tcBorders>
              <w:top w:val="inset" w:color="333333" w:sz="6" w:space="0"/>
              <w:left w:val="nil"/>
              <w:bottom w:val="inset" w:color="333333" w:sz="6" w:space="0"/>
              <w:right w:val="inset" w:color="333333" w:sz="6" w:space="0"/>
            </w:tcBorders>
            <w:vAlign w:val="center"/>
          </w:tcPr>
          <w:p w14:paraId="14CC654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5001万元-1</w:t>
            </w:r>
          </w:p>
          <w:p w14:paraId="434F48C3">
            <w:pPr>
              <w:pStyle w:val="18"/>
              <w:rPr>
                <w:rFonts w:hint="eastAsia"/>
                <w:color w:val="auto"/>
                <w:lang w:eastAsia="zh-CN"/>
              </w:rPr>
            </w:pPr>
          </w:p>
          <w:p w14:paraId="6D44353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亿元</w:t>
            </w:r>
          </w:p>
        </w:tc>
        <w:tc>
          <w:tcPr>
            <w:tcW w:w="379" w:type="pct"/>
            <w:tcBorders>
              <w:top w:val="inset" w:color="333333" w:sz="6" w:space="0"/>
              <w:left w:val="nil"/>
              <w:bottom w:val="inset" w:color="333333" w:sz="6" w:space="0"/>
              <w:right w:val="inset" w:color="333333" w:sz="6" w:space="0"/>
            </w:tcBorders>
            <w:vAlign w:val="center"/>
          </w:tcPr>
          <w:p w14:paraId="7ADD90D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1亿元以上</w:t>
            </w:r>
          </w:p>
        </w:tc>
        <w:tc>
          <w:tcPr>
            <w:tcW w:w="452" w:type="pct"/>
            <w:vMerge w:val="continue"/>
            <w:tcBorders>
              <w:top w:val="inset" w:color="333333" w:sz="6" w:space="0"/>
              <w:left w:val="nil"/>
              <w:bottom w:val="inset" w:color="333333" w:sz="6" w:space="0"/>
              <w:right w:val="inset" w:color="333333" w:sz="6" w:space="0"/>
            </w:tcBorders>
            <w:vAlign w:val="center"/>
          </w:tcPr>
          <w:p w14:paraId="0FFEFD6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r>
      <w:tr w14:paraId="48AFDD36">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065" w:hRule="atLeast"/>
        </w:trPr>
        <w:tc>
          <w:tcPr>
            <w:tcW w:w="206" w:type="pct"/>
            <w:tcBorders>
              <w:top w:val="single" w:color="auto" w:sz="4" w:space="0"/>
              <w:left w:val="inset" w:color="333333" w:sz="6" w:space="0"/>
              <w:bottom w:val="inset" w:color="333333" w:sz="6" w:space="0"/>
              <w:right w:val="inset" w:color="333333" w:sz="6" w:space="0"/>
            </w:tcBorders>
            <w:vAlign w:val="center"/>
          </w:tcPr>
          <w:p w14:paraId="5D430A1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577" w:type="pct"/>
            <w:gridSpan w:val="3"/>
            <w:tcBorders>
              <w:top w:val="single" w:color="auto" w:sz="4" w:space="0"/>
              <w:left w:val="nil"/>
              <w:bottom w:val="inset" w:color="333333" w:sz="6" w:space="0"/>
              <w:right w:val="inset" w:color="333333" w:sz="6" w:space="0"/>
            </w:tcBorders>
            <w:vAlign w:val="center"/>
          </w:tcPr>
          <w:p w14:paraId="37FBFD2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投资估算的编制或审核</w:t>
            </w:r>
          </w:p>
        </w:tc>
        <w:tc>
          <w:tcPr>
            <w:tcW w:w="875" w:type="pct"/>
            <w:tcBorders>
              <w:top w:val="inset" w:color="333333" w:sz="6" w:space="0"/>
              <w:left w:val="nil"/>
              <w:bottom w:val="inset" w:color="333333" w:sz="6" w:space="0"/>
              <w:right w:val="inset" w:color="333333" w:sz="6" w:space="0"/>
            </w:tcBorders>
            <w:vAlign w:val="center"/>
          </w:tcPr>
          <w:p w14:paraId="5056DF5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依据建设项目可行性研究方案编制或核对项目投资估算，出具投资估算报告或审核报告</w:t>
            </w:r>
          </w:p>
        </w:tc>
        <w:tc>
          <w:tcPr>
            <w:tcW w:w="380" w:type="pct"/>
            <w:tcBorders>
              <w:top w:val="inset" w:color="333333" w:sz="6" w:space="0"/>
              <w:left w:val="nil"/>
              <w:bottom w:val="inset" w:color="333333" w:sz="6" w:space="0"/>
              <w:right w:val="inset" w:color="333333" w:sz="6" w:space="0"/>
            </w:tcBorders>
            <w:vAlign w:val="center"/>
          </w:tcPr>
          <w:p w14:paraId="171C98C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估算价</w:t>
            </w:r>
          </w:p>
        </w:tc>
        <w:tc>
          <w:tcPr>
            <w:tcW w:w="413" w:type="pct"/>
            <w:tcBorders>
              <w:top w:val="inset" w:color="333333" w:sz="6" w:space="0"/>
              <w:left w:val="nil"/>
              <w:bottom w:val="inset" w:color="333333" w:sz="6" w:space="0"/>
              <w:right w:val="inset" w:color="333333" w:sz="6" w:space="0"/>
            </w:tcBorders>
            <w:vAlign w:val="center"/>
          </w:tcPr>
          <w:p w14:paraId="3CBE970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w:t>
            </w:r>
          </w:p>
        </w:tc>
        <w:tc>
          <w:tcPr>
            <w:tcW w:w="386" w:type="pct"/>
            <w:tcBorders>
              <w:top w:val="inset" w:color="333333" w:sz="6" w:space="0"/>
              <w:left w:val="nil"/>
              <w:bottom w:val="inset" w:color="333333" w:sz="6" w:space="0"/>
              <w:right w:val="inset" w:color="333333" w:sz="6" w:space="0"/>
            </w:tcBorders>
            <w:vAlign w:val="center"/>
          </w:tcPr>
          <w:p w14:paraId="5BB6A77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w:t>
            </w:r>
          </w:p>
        </w:tc>
        <w:tc>
          <w:tcPr>
            <w:tcW w:w="441" w:type="pct"/>
            <w:tcBorders>
              <w:top w:val="inset" w:color="333333" w:sz="6" w:space="0"/>
              <w:left w:val="nil"/>
              <w:bottom w:val="inset" w:color="333333" w:sz="6" w:space="0"/>
              <w:right w:val="inset" w:color="333333" w:sz="6" w:space="0"/>
            </w:tcBorders>
            <w:vAlign w:val="center"/>
          </w:tcPr>
          <w:p w14:paraId="2CA977C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0.9‰</w:t>
            </w:r>
          </w:p>
        </w:tc>
        <w:tc>
          <w:tcPr>
            <w:tcW w:w="495" w:type="pct"/>
            <w:tcBorders>
              <w:top w:val="inset" w:color="333333" w:sz="6" w:space="0"/>
              <w:left w:val="nil"/>
              <w:bottom w:val="inset" w:color="333333" w:sz="6" w:space="0"/>
              <w:right w:val="inset" w:color="333333" w:sz="6" w:space="0"/>
            </w:tcBorders>
            <w:vAlign w:val="center"/>
          </w:tcPr>
          <w:p w14:paraId="0534A3A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0.7‰</w:t>
            </w:r>
          </w:p>
        </w:tc>
        <w:tc>
          <w:tcPr>
            <w:tcW w:w="393" w:type="pct"/>
            <w:tcBorders>
              <w:top w:val="inset" w:color="333333" w:sz="6" w:space="0"/>
              <w:left w:val="nil"/>
              <w:bottom w:val="inset" w:color="333333" w:sz="6" w:space="0"/>
              <w:right w:val="inset" w:color="333333" w:sz="6" w:space="0"/>
            </w:tcBorders>
            <w:vAlign w:val="center"/>
          </w:tcPr>
          <w:p w14:paraId="1C9C936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w:t>
            </w:r>
          </w:p>
        </w:tc>
        <w:tc>
          <w:tcPr>
            <w:tcW w:w="379" w:type="pct"/>
            <w:tcBorders>
              <w:top w:val="inset" w:color="333333" w:sz="6" w:space="0"/>
              <w:left w:val="nil"/>
              <w:bottom w:val="inset" w:color="333333" w:sz="6" w:space="0"/>
              <w:right w:val="inset" w:color="333333" w:sz="6" w:space="0"/>
            </w:tcBorders>
            <w:vAlign w:val="center"/>
          </w:tcPr>
          <w:p w14:paraId="2AA393B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0.4‰</w:t>
            </w:r>
          </w:p>
        </w:tc>
        <w:tc>
          <w:tcPr>
            <w:tcW w:w="452" w:type="pct"/>
            <w:tcBorders>
              <w:top w:val="inset" w:color="333333" w:sz="6" w:space="0"/>
              <w:left w:val="nil"/>
              <w:bottom w:val="inset" w:color="333333" w:sz="6" w:space="0"/>
              <w:right w:val="inset" w:color="333333" w:sz="6" w:space="0"/>
            </w:tcBorders>
            <w:vAlign w:val="center"/>
          </w:tcPr>
          <w:p w14:paraId="1E02398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2A220E52">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78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15A63B1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577" w:type="pct"/>
            <w:gridSpan w:val="3"/>
            <w:tcBorders>
              <w:top w:val="inset" w:color="333333" w:sz="6" w:space="0"/>
              <w:left w:val="nil"/>
              <w:bottom w:val="inset" w:color="333333" w:sz="6" w:space="0"/>
              <w:right w:val="inset" w:color="333333" w:sz="6" w:space="0"/>
            </w:tcBorders>
            <w:vAlign w:val="center"/>
          </w:tcPr>
          <w:p w14:paraId="19290B6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工程概算的编制或审核</w:t>
            </w:r>
          </w:p>
        </w:tc>
        <w:tc>
          <w:tcPr>
            <w:tcW w:w="875" w:type="pct"/>
            <w:tcBorders>
              <w:top w:val="inset" w:color="333333" w:sz="6" w:space="0"/>
              <w:left w:val="nil"/>
              <w:bottom w:val="inset" w:color="333333" w:sz="6" w:space="0"/>
              <w:right w:val="inset" w:color="333333" w:sz="6" w:space="0"/>
            </w:tcBorders>
            <w:vAlign w:val="center"/>
          </w:tcPr>
          <w:p w14:paraId="00DFB54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依据初步设计图纸计算或复核工程量，出具工程概算书或审核报告</w:t>
            </w:r>
          </w:p>
        </w:tc>
        <w:tc>
          <w:tcPr>
            <w:tcW w:w="380" w:type="pct"/>
            <w:tcBorders>
              <w:top w:val="inset" w:color="333333" w:sz="6" w:space="0"/>
              <w:left w:val="nil"/>
              <w:bottom w:val="inset" w:color="333333" w:sz="6" w:space="0"/>
              <w:right w:val="inset" w:color="333333" w:sz="6" w:space="0"/>
            </w:tcBorders>
            <w:vAlign w:val="center"/>
          </w:tcPr>
          <w:p w14:paraId="74FF833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概算价</w:t>
            </w:r>
          </w:p>
        </w:tc>
        <w:tc>
          <w:tcPr>
            <w:tcW w:w="413" w:type="pct"/>
            <w:tcBorders>
              <w:top w:val="inset" w:color="333333" w:sz="6" w:space="0"/>
              <w:left w:val="nil"/>
              <w:bottom w:val="inset" w:color="333333" w:sz="6" w:space="0"/>
              <w:right w:val="inset" w:color="333333" w:sz="6" w:space="0"/>
            </w:tcBorders>
            <w:vAlign w:val="center"/>
          </w:tcPr>
          <w:p w14:paraId="08D88CA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386" w:type="pct"/>
            <w:tcBorders>
              <w:top w:val="inset" w:color="333333" w:sz="6" w:space="0"/>
              <w:left w:val="nil"/>
              <w:bottom w:val="inset" w:color="333333" w:sz="6" w:space="0"/>
              <w:right w:val="inset" w:color="333333" w:sz="6" w:space="0"/>
            </w:tcBorders>
            <w:vAlign w:val="center"/>
          </w:tcPr>
          <w:p w14:paraId="7B453B1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w:t>
            </w:r>
          </w:p>
        </w:tc>
        <w:tc>
          <w:tcPr>
            <w:tcW w:w="441" w:type="pct"/>
            <w:tcBorders>
              <w:top w:val="inset" w:color="333333" w:sz="6" w:space="0"/>
              <w:left w:val="nil"/>
              <w:bottom w:val="inset" w:color="333333" w:sz="6" w:space="0"/>
              <w:right w:val="inset" w:color="333333" w:sz="6" w:space="0"/>
            </w:tcBorders>
            <w:vAlign w:val="center"/>
          </w:tcPr>
          <w:p w14:paraId="7BFDE4A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w:t>
            </w:r>
          </w:p>
        </w:tc>
        <w:tc>
          <w:tcPr>
            <w:tcW w:w="495" w:type="pct"/>
            <w:tcBorders>
              <w:top w:val="inset" w:color="333333" w:sz="6" w:space="0"/>
              <w:left w:val="nil"/>
              <w:bottom w:val="inset" w:color="333333" w:sz="6" w:space="0"/>
              <w:right w:val="inset" w:color="333333" w:sz="6" w:space="0"/>
            </w:tcBorders>
            <w:vAlign w:val="center"/>
          </w:tcPr>
          <w:p w14:paraId="047CEF1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w:t>
            </w:r>
          </w:p>
        </w:tc>
        <w:tc>
          <w:tcPr>
            <w:tcW w:w="393" w:type="pct"/>
            <w:tcBorders>
              <w:top w:val="inset" w:color="333333" w:sz="6" w:space="0"/>
              <w:left w:val="nil"/>
              <w:bottom w:val="inset" w:color="333333" w:sz="6" w:space="0"/>
              <w:right w:val="inset" w:color="333333" w:sz="6" w:space="0"/>
            </w:tcBorders>
            <w:vAlign w:val="center"/>
          </w:tcPr>
          <w:p w14:paraId="1570494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79" w:type="pct"/>
            <w:tcBorders>
              <w:top w:val="inset" w:color="333333" w:sz="6" w:space="0"/>
              <w:left w:val="nil"/>
              <w:bottom w:val="inset" w:color="333333" w:sz="6" w:space="0"/>
              <w:right w:val="inset" w:color="333333" w:sz="6" w:space="0"/>
            </w:tcBorders>
            <w:vAlign w:val="center"/>
          </w:tcPr>
          <w:p w14:paraId="107F63A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w:t>
            </w:r>
          </w:p>
        </w:tc>
        <w:tc>
          <w:tcPr>
            <w:tcW w:w="452" w:type="pct"/>
            <w:tcBorders>
              <w:top w:val="inset" w:color="333333" w:sz="6" w:space="0"/>
              <w:left w:val="nil"/>
              <w:bottom w:val="inset" w:color="333333" w:sz="6" w:space="0"/>
              <w:right w:val="inset" w:color="333333" w:sz="6" w:space="0"/>
            </w:tcBorders>
            <w:vAlign w:val="center"/>
          </w:tcPr>
          <w:p w14:paraId="360DA99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23C8C8C2">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810" w:hRule="atLeast"/>
        </w:trPr>
        <w:tc>
          <w:tcPr>
            <w:tcW w:w="206" w:type="pct"/>
            <w:vMerge w:val="restart"/>
            <w:tcBorders>
              <w:top w:val="nil"/>
              <w:left w:val="inset" w:color="333333" w:sz="6" w:space="0"/>
              <w:bottom w:val="inset" w:color="333333" w:sz="6" w:space="0"/>
              <w:right w:val="inset" w:color="333333" w:sz="6" w:space="0"/>
            </w:tcBorders>
            <w:vAlign w:val="center"/>
          </w:tcPr>
          <w:p w14:paraId="20E7AC9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59" w:type="pct"/>
            <w:vMerge w:val="restart"/>
            <w:tcBorders>
              <w:top w:val="nil"/>
              <w:left w:val="nil"/>
              <w:bottom w:val="inset" w:color="333333" w:sz="6" w:space="0"/>
              <w:right w:val="inset" w:color="333333" w:sz="6" w:space="0"/>
            </w:tcBorders>
            <w:vAlign w:val="center"/>
          </w:tcPr>
          <w:p w14:paraId="461157D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工程预算的编制或审核</w:t>
            </w:r>
          </w:p>
        </w:tc>
        <w:tc>
          <w:tcPr>
            <w:tcW w:w="133" w:type="pct"/>
            <w:vMerge w:val="restart"/>
            <w:tcBorders>
              <w:top w:val="nil"/>
              <w:left w:val="nil"/>
              <w:bottom w:val="inset" w:color="333333" w:sz="6" w:space="0"/>
              <w:right w:val="inset" w:color="333333" w:sz="6" w:space="0"/>
            </w:tcBorders>
            <w:vAlign w:val="center"/>
          </w:tcPr>
          <w:p w14:paraId="51D4AAC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清单计价法</w:t>
            </w:r>
          </w:p>
        </w:tc>
        <w:tc>
          <w:tcPr>
            <w:tcW w:w="285" w:type="pct"/>
            <w:tcBorders>
              <w:top w:val="inset" w:color="333333" w:sz="6" w:space="0"/>
              <w:left w:val="nil"/>
              <w:bottom w:val="inset" w:color="333333" w:sz="6" w:space="0"/>
              <w:right w:val="inset" w:color="333333" w:sz="6" w:space="0"/>
            </w:tcBorders>
            <w:vAlign w:val="center"/>
          </w:tcPr>
          <w:p w14:paraId="64887D3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单独编制或审核工程量清单</w:t>
            </w:r>
          </w:p>
        </w:tc>
        <w:tc>
          <w:tcPr>
            <w:tcW w:w="875" w:type="pct"/>
            <w:tcBorders>
              <w:top w:val="inset" w:color="333333" w:sz="6" w:space="0"/>
              <w:left w:val="nil"/>
              <w:bottom w:val="inset" w:color="333333" w:sz="6" w:space="0"/>
              <w:right w:val="inset" w:color="333333" w:sz="6" w:space="0"/>
            </w:tcBorders>
            <w:vAlign w:val="center"/>
          </w:tcPr>
          <w:p w14:paraId="1FDE68A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依据施工图编制或审核工程量清单，出具工程量清单书或审核报告</w:t>
            </w:r>
          </w:p>
        </w:tc>
        <w:tc>
          <w:tcPr>
            <w:tcW w:w="380" w:type="pct"/>
            <w:tcBorders>
              <w:top w:val="inset" w:color="333333" w:sz="6" w:space="0"/>
              <w:left w:val="nil"/>
              <w:bottom w:val="inset" w:color="333333" w:sz="6" w:space="0"/>
              <w:right w:val="inset" w:color="333333" w:sz="6" w:space="0"/>
            </w:tcBorders>
            <w:vAlign w:val="center"/>
          </w:tcPr>
          <w:p w14:paraId="240CDF2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预算造价（预算价、招标控制价）</w:t>
            </w:r>
          </w:p>
        </w:tc>
        <w:tc>
          <w:tcPr>
            <w:tcW w:w="413" w:type="pct"/>
            <w:tcBorders>
              <w:top w:val="inset" w:color="333333" w:sz="6" w:space="0"/>
              <w:left w:val="nil"/>
              <w:bottom w:val="inset" w:color="333333" w:sz="6" w:space="0"/>
              <w:right w:val="inset" w:color="333333" w:sz="6" w:space="0"/>
            </w:tcBorders>
            <w:vAlign w:val="center"/>
          </w:tcPr>
          <w:p w14:paraId="7CAAC6E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386" w:type="pct"/>
            <w:tcBorders>
              <w:top w:val="inset" w:color="333333" w:sz="6" w:space="0"/>
              <w:left w:val="nil"/>
              <w:bottom w:val="inset" w:color="333333" w:sz="6" w:space="0"/>
              <w:right w:val="inset" w:color="333333" w:sz="6" w:space="0"/>
            </w:tcBorders>
            <w:vAlign w:val="center"/>
          </w:tcPr>
          <w:p w14:paraId="6DB71B1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w:t>
            </w:r>
          </w:p>
        </w:tc>
        <w:tc>
          <w:tcPr>
            <w:tcW w:w="441" w:type="pct"/>
            <w:tcBorders>
              <w:top w:val="inset" w:color="333333" w:sz="6" w:space="0"/>
              <w:left w:val="nil"/>
              <w:bottom w:val="inset" w:color="333333" w:sz="6" w:space="0"/>
              <w:right w:val="inset" w:color="333333" w:sz="6" w:space="0"/>
            </w:tcBorders>
            <w:vAlign w:val="center"/>
          </w:tcPr>
          <w:p w14:paraId="5DDB78E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w:t>
            </w:r>
          </w:p>
        </w:tc>
        <w:tc>
          <w:tcPr>
            <w:tcW w:w="495" w:type="pct"/>
            <w:tcBorders>
              <w:top w:val="inset" w:color="333333" w:sz="6" w:space="0"/>
              <w:left w:val="nil"/>
              <w:bottom w:val="inset" w:color="333333" w:sz="6" w:space="0"/>
              <w:right w:val="inset" w:color="333333" w:sz="6" w:space="0"/>
            </w:tcBorders>
            <w:vAlign w:val="center"/>
          </w:tcPr>
          <w:p w14:paraId="5CB8749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w:t>
            </w:r>
          </w:p>
        </w:tc>
        <w:tc>
          <w:tcPr>
            <w:tcW w:w="393" w:type="pct"/>
            <w:tcBorders>
              <w:top w:val="inset" w:color="333333" w:sz="6" w:space="0"/>
              <w:left w:val="nil"/>
              <w:bottom w:val="inset" w:color="333333" w:sz="6" w:space="0"/>
              <w:right w:val="inset" w:color="333333" w:sz="6" w:space="0"/>
            </w:tcBorders>
            <w:vAlign w:val="center"/>
          </w:tcPr>
          <w:p w14:paraId="29C9B96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379" w:type="pct"/>
            <w:tcBorders>
              <w:top w:val="inset" w:color="333333" w:sz="6" w:space="0"/>
              <w:left w:val="nil"/>
              <w:bottom w:val="inset" w:color="333333" w:sz="6" w:space="0"/>
              <w:right w:val="inset" w:color="333333" w:sz="6" w:space="0"/>
            </w:tcBorders>
            <w:vAlign w:val="center"/>
          </w:tcPr>
          <w:p w14:paraId="470AB17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w:t>
            </w:r>
          </w:p>
        </w:tc>
        <w:tc>
          <w:tcPr>
            <w:tcW w:w="452" w:type="pct"/>
            <w:tcBorders>
              <w:top w:val="inset" w:color="333333" w:sz="6" w:space="0"/>
              <w:left w:val="nil"/>
              <w:bottom w:val="inset" w:color="333333" w:sz="6" w:space="0"/>
              <w:right w:val="inset" w:color="333333" w:sz="6" w:space="0"/>
            </w:tcBorders>
            <w:vAlign w:val="center"/>
          </w:tcPr>
          <w:p w14:paraId="72A3AEE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06241B34">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870" w:hRule="atLeast"/>
        </w:trPr>
        <w:tc>
          <w:tcPr>
            <w:tcW w:w="206" w:type="pct"/>
            <w:vMerge w:val="continue"/>
            <w:tcBorders>
              <w:top w:val="nil"/>
              <w:left w:val="inset" w:color="333333" w:sz="6" w:space="0"/>
              <w:bottom w:val="inset" w:color="333333" w:sz="6" w:space="0"/>
              <w:right w:val="inset" w:color="333333" w:sz="6" w:space="0"/>
            </w:tcBorders>
            <w:vAlign w:val="center"/>
          </w:tcPr>
          <w:p w14:paraId="0B6D3F9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59" w:type="pct"/>
            <w:vMerge w:val="continue"/>
            <w:tcBorders>
              <w:top w:val="nil"/>
              <w:left w:val="nil"/>
              <w:bottom w:val="inset" w:color="333333" w:sz="6" w:space="0"/>
              <w:right w:val="inset" w:color="333333" w:sz="6" w:space="0"/>
            </w:tcBorders>
            <w:vAlign w:val="center"/>
          </w:tcPr>
          <w:p w14:paraId="20AE2A5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33" w:type="pct"/>
            <w:vMerge w:val="continue"/>
            <w:tcBorders>
              <w:top w:val="nil"/>
              <w:left w:val="nil"/>
              <w:bottom w:val="inset" w:color="333333" w:sz="6" w:space="0"/>
              <w:right w:val="inset" w:color="333333" w:sz="6" w:space="0"/>
            </w:tcBorders>
            <w:vAlign w:val="center"/>
          </w:tcPr>
          <w:p w14:paraId="4A260E7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285" w:type="pct"/>
            <w:tcBorders>
              <w:top w:val="inset" w:color="333333" w:sz="6" w:space="0"/>
              <w:left w:val="nil"/>
              <w:bottom w:val="inset" w:color="333333" w:sz="6" w:space="0"/>
              <w:right w:val="inset" w:color="333333" w:sz="6" w:space="0"/>
            </w:tcBorders>
            <w:vAlign w:val="center"/>
          </w:tcPr>
          <w:p w14:paraId="34ED147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单独编制或审核预算造价</w:t>
            </w:r>
          </w:p>
        </w:tc>
        <w:tc>
          <w:tcPr>
            <w:tcW w:w="875" w:type="pct"/>
            <w:tcBorders>
              <w:top w:val="inset" w:color="333333" w:sz="6" w:space="0"/>
              <w:left w:val="nil"/>
              <w:bottom w:val="inset" w:color="333333" w:sz="6" w:space="0"/>
              <w:right w:val="inset" w:color="333333" w:sz="6" w:space="0"/>
            </w:tcBorders>
            <w:vAlign w:val="center"/>
          </w:tcPr>
          <w:p w14:paraId="46CE9E9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依据施工图、工程量清单编制或审核工程量清单报价，出具工程报价书或审核报告</w:t>
            </w:r>
          </w:p>
        </w:tc>
        <w:tc>
          <w:tcPr>
            <w:tcW w:w="380" w:type="pct"/>
            <w:tcBorders>
              <w:top w:val="inset" w:color="333333" w:sz="6" w:space="0"/>
              <w:left w:val="nil"/>
              <w:bottom w:val="inset" w:color="333333" w:sz="6" w:space="0"/>
              <w:right w:val="inset" w:color="333333" w:sz="6" w:space="0"/>
            </w:tcBorders>
            <w:vAlign w:val="center"/>
          </w:tcPr>
          <w:p w14:paraId="174D284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预算造价（预算价、招标控制价、投标报价）</w:t>
            </w:r>
          </w:p>
        </w:tc>
        <w:tc>
          <w:tcPr>
            <w:tcW w:w="413" w:type="pct"/>
            <w:tcBorders>
              <w:top w:val="inset" w:color="333333" w:sz="6" w:space="0"/>
              <w:left w:val="nil"/>
              <w:bottom w:val="inset" w:color="333333" w:sz="6" w:space="0"/>
              <w:right w:val="inset" w:color="333333" w:sz="6" w:space="0"/>
            </w:tcBorders>
            <w:vAlign w:val="center"/>
          </w:tcPr>
          <w:p w14:paraId="06E9628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w:t>
            </w:r>
          </w:p>
        </w:tc>
        <w:tc>
          <w:tcPr>
            <w:tcW w:w="386" w:type="pct"/>
            <w:tcBorders>
              <w:top w:val="inset" w:color="333333" w:sz="6" w:space="0"/>
              <w:left w:val="nil"/>
              <w:bottom w:val="inset" w:color="333333" w:sz="6" w:space="0"/>
              <w:right w:val="inset" w:color="333333" w:sz="6" w:space="0"/>
            </w:tcBorders>
            <w:vAlign w:val="center"/>
          </w:tcPr>
          <w:p w14:paraId="1C28E17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w:t>
            </w:r>
          </w:p>
        </w:tc>
        <w:tc>
          <w:tcPr>
            <w:tcW w:w="441" w:type="pct"/>
            <w:tcBorders>
              <w:top w:val="inset" w:color="333333" w:sz="6" w:space="0"/>
              <w:left w:val="nil"/>
              <w:bottom w:val="inset" w:color="333333" w:sz="6" w:space="0"/>
              <w:right w:val="inset" w:color="333333" w:sz="6" w:space="0"/>
            </w:tcBorders>
            <w:vAlign w:val="center"/>
          </w:tcPr>
          <w:p w14:paraId="0C0DA0E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1.4‰</w:t>
            </w:r>
          </w:p>
        </w:tc>
        <w:tc>
          <w:tcPr>
            <w:tcW w:w="495" w:type="pct"/>
            <w:tcBorders>
              <w:top w:val="inset" w:color="333333" w:sz="6" w:space="0"/>
              <w:left w:val="nil"/>
              <w:bottom w:val="inset" w:color="333333" w:sz="6" w:space="0"/>
              <w:right w:val="inset" w:color="333333" w:sz="6" w:space="0"/>
            </w:tcBorders>
            <w:vAlign w:val="center"/>
          </w:tcPr>
          <w:p w14:paraId="44344D5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93" w:type="pct"/>
            <w:tcBorders>
              <w:top w:val="inset" w:color="333333" w:sz="6" w:space="0"/>
              <w:left w:val="nil"/>
              <w:bottom w:val="inset" w:color="333333" w:sz="6" w:space="0"/>
              <w:right w:val="inset" w:color="333333" w:sz="6" w:space="0"/>
            </w:tcBorders>
            <w:vAlign w:val="center"/>
          </w:tcPr>
          <w:p w14:paraId="17A47B0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0.9‰</w:t>
            </w:r>
          </w:p>
        </w:tc>
        <w:tc>
          <w:tcPr>
            <w:tcW w:w="379" w:type="pct"/>
            <w:tcBorders>
              <w:top w:val="inset" w:color="333333" w:sz="6" w:space="0"/>
              <w:left w:val="nil"/>
              <w:bottom w:val="inset" w:color="333333" w:sz="6" w:space="0"/>
              <w:right w:val="inset" w:color="333333" w:sz="6" w:space="0"/>
            </w:tcBorders>
            <w:vAlign w:val="center"/>
          </w:tcPr>
          <w:p w14:paraId="05A9FEC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0.8‰</w:t>
            </w:r>
          </w:p>
        </w:tc>
        <w:tc>
          <w:tcPr>
            <w:tcW w:w="452" w:type="pct"/>
            <w:tcBorders>
              <w:top w:val="inset" w:color="333333" w:sz="6" w:space="0"/>
              <w:left w:val="nil"/>
              <w:bottom w:val="inset" w:color="333333" w:sz="6" w:space="0"/>
              <w:right w:val="inset" w:color="333333" w:sz="6" w:space="0"/>
            </w:tcBorders>
            <w:vAlign w:val="center"/>
          </w:tcPr>
          <w:p w14:paraId="0D96886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38D7519C">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750" w:hRule="atLeast"/>
        </w:trPr>
        <w:tc>
          <w:tcPr>
            <w:tcW w:w="206" w:type="pct"/>
            <w:vMerge w:val="continue"/>
            <w:tcBorders>
              <w:top w:val="nil"/>
              <w:left w:val="inset" w:color="333333" w:sz="6" w:space="0"/>
              <w:bottom w:val="inset" w:color="333333" w:sz="6" w:space="0"/>
              <w:right w:val="inset" w:color="333333" w:sz="6" w:space="0"/>
            </w:tcBorders>
            <w:vAlign w:val="center"/>
          </w:tcPr>
          <w:p w14:paraId="0036718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59" w:type="pct"/>
            <w:vMerge w:val="continue"/>
            <w:tcBorders>
              <w:top w:val="nil"/>
              <w:left w:val="nil"/>
              <w:bottom w:val="inset" w:color="333333" w:sz="6" w:space="0"/>
              <w:right w:val="inset" w:color="333333" w:sz="6" w:space="0"/>
            </w:tcBorders>
            <w:vAlign w:val="center"/>
          </w:tcPr>
          <w:p w14:paraId="7F7D299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33" w:type="pct"/>
            <w:tcBorders>
              <w:top w:val="inset" w:color="333333" w:sz="6" w:space="0"/>
              <w:left w:val="nil"/>
              <w:bottom w:val="inset" w:color="333333" w:sz="6" w:space="0"/>
              <w:right w:val="inset" w:color="333333" w:sz="6" w:space="0"/>
            </w:tcBorders>
            <w:vAlign w:val="center"/>
          </w:tcPr>
          <w:p w14:paraId="138C091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定额计价法</w:t>
            </w:r>
          </w:p>
        </w:tc>
        <w:tc>
          <w:tcPr>
            <w:tcW w:w="285" w:type="pct"/>
            <w:tcBorders>
              <w:top w:val="inset" w:color="333333" w:sz="6" w:space="0"/>
              <w:left w:val="nil"/>
              <w:bottom w:val="inset" w:color="333333" w:sz="6" w:space="0"/>
              <w:right w:val="inset" w:color="333333" w:sz="6" w:space="0"/>
            </w:tcBorders>
            <w:vAlign w:val="center"/>
          </w:tcPr>
          <w:p w14:paraId="5E008B5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编制或审核预算造价</w:t>
            </w:r>
          </w:p>
        </w:tc>
        <w:tc>
          <w:tcPr>
            <w:tcW w:w="875" w:type="pct"/>
            <w:tcBorders>
              <w:top w:val="inset" w:color="333333" w:sz="6" w:space="0"/>
              <w:left w:val="nil"/>
              <w:bottom w:val="inset" w:color="333333" w:sz="6" w:space="0"/>
              <w:right w:val="inset" w:color="333333" w:sz="6" w:space="0"/>
            </w:tcBorders>
            <w:vAlign w:val="center"/>
          </w:tcPr>
          <w:p w14:paraId="2CF55C0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依据施工图编制或审核工程预算，出具工程预算书或审核报告</w:t>
            </w:r>
          </w:p>
        </w:tc>
        <w:tc>
          <w:tcPr>
            <w:tcW w:w="380" w:type="pct"/>
            <w:tcBorders>
              <w:top w:val="inset" w:color="333333" w:sz="6" w:space="0"/>
              <w:left w:val="nil"/>
              <w:bottom w:val="inset" w:color="333333" w:sz="6" w:space="0"/>
              <w:right w:val="inset" w:color="333333" w:sz="6" w:space="0"/>
            </w:tcBorders>
            <w:vAlign w:val="center"/>
          </w:tcPr>
          <w:p w14:paraId="4D8DCDB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预算造价（预算价、招标控制价、投标报价）</w:t>
            </w:r>
          </w:p>
        </w:tc>
        <w:tc>
          <w:tcPr>
            <w:tcW w:w="413" w:type="pct"/>
            <w:tcBorders>
              <w:top w:val="inset" w:color="333333" w:sz="6" w:space="0"/>
              <w:left w:val="nil"/>
              <w:bottom w:val="inset" w:color="333333" w:sz="6" w:space="0"/>
              <w:right w:val="inset" w:color="333333" w:sz="6" w:space="0"/>
            </w:tcBorders>
            <w:vAlign w:val="center"/>
          </w:tcPr>
          <w:p w14:paraId="21398FB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3.5‰</w:t>
            </w:r>
          </w:p>
        </w:tc>
        <w:tc>
          <w:tcPr>
            <w:tcW w:w="386" w:type="pct"/>
            <w:tcBorders>
              <w:top w:val="inset" w:color="333333" w:sz="6" w:space="0"/>
              <w:left w:val="nil"/>
              <w:bottom w:val="inset" w:color="333333" w:sz="6" w:space="0"/>
              <w:right w:val="inset" w:color="333333" w:sz="6" w:space="0"/>
            </w:tcBorders>
            <w:vAlign w:val="center"/>
          </w:tcPr>
          <w:p w14:paraId="222B8DE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441" w:type="pct"/>
            <w:tcBorders>
              <w:top w:val="inset" w:color="333333" w:sz="6" w:space="0"/>
              <w:left w:val="nil"/>
              <w:bottom w:val="inset" w:color="333333" w:sz="6" w:space="0"/>
              <w:right w:val="inset" w:color="333333" w:sz="6" w:space="0"/>
            </w:tcBorders>
            <w:vAlign w:val="center"/>
          </w:tcPr>
          <w:p w14:paraId="44E2A59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2.8‰</w:t>
            </w:r>
          </w:p>
        </w:tc>
        <w:tc>
          <w:tcPr>
            <w:tcW w:w="495" w:type="pct"/>
            <w:tcBorders>
              <w:top w:val="inset" w:color="333333" w:sz="6" w:space="0"/>
              <w:left w:val="nil"/>
              <w:bottom w:val="inset" w:color="333333" w:sz="6" w:space="0"/>
              <w:right w:val="inset" w:color="333333" w:sz="6" w:space="0"/>
            </w:tcBorders>
            <w:vAlign w:val="center"/>
          </w:tcPr>
          <w:p w14:paraId="406B0A7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2.7‰</w:t>
            </w:r>
          </w:p>
        </w:tc>
        <w:tc>
          <w:tcPr>
            <w:tcW w:w="393" w:type="pct"/>
            <w:tcBorders>
              <w:top w:val="inset" w:color="333333" w:sz="6" w:space="0"/>
              <w:left w:val="nil"/>
              <w:bottom w:val="inset" w:color="333333" w:sz="6" w:space="0"/>
              <w:right w:val="inset" w:color="333333" w:sz="6" w:space="0"/>
            </w:tcBorders>
            <w:vAlign w:val="center"/>
          </w:tcPr>
          <w:p w14:paraId="2F7AE2A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w:t>
            </w:r>
          </w:p>
        </w:tc>
        <w:tc>
          <w:tcPr>
            <w:tcW w:w="379" w:type="pct"/>
            <w:tcBorders>
              <w:top w:val="inset" w:color="333333" w:sz="6" w:space="0"/>
              <w:left w:val="nil"/>
              <w:bottom w:val="inset" w:color="333333" w:sz="6" w:space="0"/>
              <w:right w:val="inset" w:color="333333" w:sz="6" w:space="0"/>
            </w:tcBorders>
            <w:vAlign w:val="center"/>
          </w:tcPr>
          <w:p w14:paraId="412AF58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452" w:type="pct"/>
            <w:tcBorders>
              <w:top w:val="inset" w:color="333333" w:sz="6" w:space="0"/>
              <w:left w:val="nil"/>
              <w:bottom w:val="inset" w:color="333333" w:sz="6" w:space="0"/>
              <w:right w:val="inset" w:color="333333" w:sz="6" w:space="0"/>
            </w:tcBorders>
            <w:vAlign w:val="center"/>
          </w:tcPr>
          <w:p w14:paraId="3698C67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044263E3">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675"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7EE7C01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577" w:type="pct"/>
            <w:gridSpan w:val="3"/>
            <w:tcBorders>
              <w:top w:val="inset" w:color="333333" w:sz="6" w:space="0"/>
              <w:left w:val="nil"/>
              <w:bottom w:val="inset" w:color="333333" w:sz="6" w:space="0"/>
              <w:right w:val="inset" w:color="333333" w:sz="6" w:space="0"/>
            </w:tcBorders>
            <w:vAlign w:val="center"/>
          </w:tcPr>
          <w:p w14:paraId="11C609C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工程结算的编制</w:t>
            </w:r>
          </w:p>
        </w:tc>
        <w:tc>
          <w:tcPr>
            <w:tcW w:w="875" w:type="pct"/>
            <w:tcBorders>
              <w:top w:val="inset" w:color="333333" w:sz="6" w:space="0"/>
              <w:left w:val="nil"/>
              <w:bottom w:val="inset" w:color="333333" w:sz="6" w:space="0"/>
              <w:right w:val="inset" w:color="333333" w:sz="6" w:space="0"/>
            </w:tcBorders>
            <w:vAlign w:val="center"/>
          </w:tcPr>
          <w:p w14:paraId="1364CDB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依据竣工图等竣工资料编制工程结算，出具工程结算书</w:t>
            </w:r>
          </w:p>
        </w:tc>
        <w:tc>
          <w:tcPr>
            <w:tcW w:w="380" w:type="pct"/>
            <w:tcBorders>
              <w:top w:val="inset" w:color="333333" w:sz="6" w:space="0"/>
              <w:left w:val="nil"/>
              <w:bottom w:val="inset" w:color="333333" w:sz="6" w:space="0"/>
              <w:right w:val="inset" w:color="333333" w:sz="6" w:space="0"/>
            </w:tcBorders>
            <w:vAlign w:val="center"/>
          </w:tcPr>
          <w:p w14:paraId="15E61DC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结算价</w:t>
            </w:r>
          </w:p>
        </w:tc>
        <w:tc>
          <w:tcPr>
            <w:tcW w:w="413" w:type="pct"/>
            <w:tcBorders>
              <w:top w:val="inset" w:color="333333" w:sz="6" w:space="0"/>
              <w:left w:val="nil"/>
              <w:bottom w:val="inset" w:color="333333" w:sz="6" w:space="0"/>
              <w:right w:val="inset" w:color="333333" w:sz="6" w:space="0"/>
            </w:tcBorders>
            <w:vAlign w:val="center"/>
          </w:tcPr>
          <w:p w14:paraId="65D0929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4.5‰</w:t>
            </w:r>
          </w:p>
        </w:tc>
        <w:tc>
          <w:tcPr>
            <w:tcW w:w="386" w:type="pct"/>
            <w:tcBorders>
              <w:top w:val="inset" w:color="333333" w:sz="6" w:space="0"/>
              <w:left w:val="nil"/>
              <w:bottom w:val="inset" w:color="333333" w:sz="6" w:space="0"/>
              <w:right w:val="inset" w:color="333333" w:sz="6" w:space="0"/>
            </w:tcBorders>
            <w:vAlign w:val="center"/>
          </w:tcPr>
          <w:p w14:paraId="776A72C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441" w:type="pct"/>
            <w:tcBorders>
              <w:top w:val="inset" w:color="333333" w:sz="6" w:space="0"/>
              <w:left w:val="nil"/>
              <w:bottom w:val="inset" w:color="333333" w:sz="6" w:space="0"/>
              <w:right w:val="inset" w:color="333333" w:sz="6" w:space="0"/>
            </w:tcBorders>
            <w:vAlign w:val="center"/>
          </w:tcPr>
          <w:p w14:paraId="0C5940A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3.5‰</w:t>
            </w:r>
          </w:p>
        </w:tc>
        <w:tc>
          <w:tcPr>
            <w:tcW w:w="495" w:type="pct"/>
            <w:tcBorders>
              <w:top w:val="inset" w:color="333333" w:sz="6" w:space="0"/>
              <w:left w:val="nil"/>
              <w:bottom w:val="inset" w:color="333333" w:sz="6" w:space="0"/>
              <w:right w:val="inset" w:color="333333" w:sz="6" w:space="0"/>
            </w:tcBorders>
            <w:vAlign w:val="center"/>
          </w:tcPr>
          <w:p w14:paraId="194CF8C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w:t>
            </w:r>
          </w:p>
        </w:tc>
        <w:tc>
          <w:tcPr>
            <w:tcW w:w="393" w:type="pct"/>
            <w:tcBorders>
              <w:top w:val="inset" w:color="333333" w:sz="6" w:space="0"/>
              <w:left w:val="nil"/>
              <w:bottom w:val="inset" w:color="333333" w:sz="6" w:space="0"/>
              <w:right w:val="inset" w:color="333333" w:sz="6" w:space="0"/>
            </w:tcBorders>
            <w:vAlign w:val="center"/>
          </w:tcPr>
          <w:p w14:paraId="0CF8F1C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379" w:type="pct"/>
            <w:tcBorders>
              <w:top w:val="inset" w:color="333333" w:sz="6" w:space="0"/>
              <w:left w:val="nil"/>
              <w:bottom w:val="inset" w:color="333333" w:sz="6" w:space="0"/>
              <w:right w:val="inset" w:color="333333" w:sz="6" w:space="0"/>
            </w:tcBorders>
            <w:vAlign w:val="center"/>
          </w:tcPr>
          <w:p w14:paraId="66116E5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w:t>
            </w:r>
          </w:p>
        </w:tc>
        <w:tc>
          <w:tcPr>
            <w:tcW w:w="452" w:type="pct"/>
            <w:tcBorders>
              <w:top w:val="inset" w:color="333333" w:sz="6" w:space="0"/>
              <w:left w:val="nil"/>
              <w:bottom w:val="inset" w:color="333333" w:sz="6" w:space="0"/>
              <w:right w:val="inset" w:color="333333" w:sz="6" w:space="0"/>
            </w:tcBorders>
            <w:vAlign w:val="center"/>
          </w:tcPr>
          <w:p w14:paraId="661E0E8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16C16194">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735" w:hRule="atLeast"/>
        </w:trPr>
        <w:tc>
          <w:tcPr>
            <w:tcW w:w="206" w:type="pct"/>
            <w:vMerge w:val="restart"/>
            <w:tcBorders>
              <w:top w:val="nil"/>
              <w:left w:val="inset" w:color="333333" w:sz="6" w:space="0"/>
              <w:bottom w:val="inset" w:color="333333" w:sz="6" w:space="0"/>
              <w:right w:val="inset" w:color="333333" w:sz="6" w:space="0"/>
            </w:tcBorders>
            <w:vAlign w:val="center"/>
          </w:tcPr>
          <w:p w14:paraId="2C31CD1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292" w:type="pct"/>
            <w:gridSpan w:val="2"/>
            <w:vMerge w:val="restart"/>
            <w:tcBorders>
              <w:top w:val="nil"/>
              <w:left w:val="nil"/>
              <w:bottom w:val="inset" w:color="333333" w:sz="6" w:space="0"/>
              <w:right w:val="inset" w:color="333333" w:sz="6" w:space="0"/>
            </w:tcBorders>
            <w:vAlign w:val="center"/>
          </w:tcPr>
          <w:p w14:paraId="48440F1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工程结算审核</w:t>
            </w:r>
          </w:p>
        </w:tc>
        <w:tc>
          <w:tcPr>
            <w:tcW w:w="285" w:type="pct"/>
            <w:tcBorders>
              <w:top w:val="inset" w:color="333333" w:sz="6" w:space="0"/>
              <w:left w:val="nil"/>
              <w:bottom w:val="inset" w:color="333333" w:sz="6" w:space="0"/>
              <w:right w:val="inset" w:color="333333" w:sz="6" w:space="0"/>
            </w:tcBorders>
            <w:vAlign w:val="center"/>
          </w:tcPr>
          <w:p w14:paraId="2197439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（1）基本收费</w:t>
            </w:r>
          </w:p>
        </w:tc>
        <w:tc>
          <w:tcPr>
            <w:tcW w:w="875" w:type="pct"/>
            <w:vMerge w:val="restart"/>
            <w:tcBorders>
              <w:top w:val="nil"/>
              <w:left w:val="nil"/>
              <w:bottom w:val="inset" w:color="333333" w:sz="6" w:space="0"/>
              <w:right w:val="inset" w:color="333333" w:sz="6" w:space="0"/>
            </w:tcBorders>
            <w:vAlign w:val="center"/>
          </w:tcPr>
          <w:p w14:paraId="04324CA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依据竣工图、签证资料、工程结算书等进行审核，出具工程结算审核报告</w:t>
            </w:r>
          </w:p>
        </w:tc>
        <w:tc>
          <w:tcPr>
            <w:tcW w:w="380" w:type="pct"/>
            <w:tcBorders>
              <w:top w:val="inset" w:color="333333" w:sz="6" w:space="0"/>
              <w:left w:val="nil"/>
              <w:bottom w:val="inset" w:color="333333" w:sz="6" w:space="0"/>
              <w:right w:val="inset" w:color="333333" w:sz="6" w:space="0"/>
            </w:tcBorders>
            <w:vAlign w:val="center"/>
          </w:tcPr>
          <w:p w14:paraId="20DF097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送审结算价</w:t>
            </w:r>
          </w:p>
        </w:tc>
        <w:tc>
          <w:tcPr>
            <w:tcW w:w="413" w:type="pct"/>
            <w:tcBorders>
              <w:top w:val="inset" w:color="333333" w:sz="6" w:space="0"/>
              <w:left w:val="nil"/>
              <w:bottom w:val="inset" w:color="333333" w:sz="6" w:space="0"/>
              <w:right w:val="inset" w:color="333333" w:sz="6" w:space="0"/>
            </w:tcBorders>
            <w:vAlign w:val="center"/>
          </w:tcPr>
          <w:p w14:paraId="603B44B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2.8‰</w:t>
            </w:r>
          </w:p>
        </w:tc>
        <w:tc>
          <w:tcPr>
            <w:tcW w:w="386" w:type="pct"/>
            <w:tcBorders>
              <w:top w:val="inset" w:color="333333" w:sz="6" w:space="0"/>
              <w:left w:val="nil"/>
              <w:bottom w:val="nil"/>
              <w:right w:val="inset" w:color="333333" w:sz="6" w:space="0"/>
            </w:tcBorders>
            <w:vAlign w:val="center"/>
          </w:tcPr>
          <w:p w14:paraId="0B9F825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w:t>
            </w:r>
          </w:p>
        </w:tc>
        <w:tc>
          <w:tcPr>
            <w:tcW w:w="441" w:type="pct"/>
            <w:tcBorders>
              <w:top w:val="inset" w:color="333333" w:sz="6" w:space="0"/>
              <w:left w:val="nil"/>
              <w:bottom w:val="inset" w:color="333333" w:sz="6" w:space="0"/>
              <w:right w:val="inset" w:color="333333" w:sz="6" w:space="0"/>
            </w:tcBorders>
            <w:vAlign w:val="center"/>
          </w:tcPr>
          <w:p w14:paraId="45AC555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w:t>
            </w:r>
          </w:p>
        </w:tc>
        <w:tc>
          <w:tcPr>
            <w:tcW w:w="495" w:type="pct"/>
            <w:tcBorders>
              <w:top w:val="inset" w:color="333333" w:sz="6" w:space="0"/>
              <w:left w:val="nil"/>
              <w:bottom w:val="inset" w:color="333333" w:sz="6" w:space="0"/>
              <w:right w:val="inset" w:color="333333" w:sz="6" w:space="0"/>
            </w:tcBorders>
            <w:vAlign w:val="center"/>
          </w:tcPr>
          <w:p w14:paraId="1C9DCDD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w:t>
            </w:r>
          </w:p>
        </w:tc>
        <w:tc>
          <w:tcPr>
            <w:tcW w:w="393" w:type="pct"/>
            <w:tcBorders>
              <w:top w:val="inset" w:color="333333" w:sz="6" w:space="0"/>
              <w:left w:val="nil"/>
              <w:bottom w:val="inset" w:color="333333" w:sz="6" w:space="0"/>
              <w:right w:val="inset" w:color="333333" w:sz="6" w:space="0"/>
            </w:tcBorders>
            <w:vAlign w:val="center"/>
          </w:tcPr>
          <w:p w14:paraId="4012FF7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w:t>
            </w:r>
          </w:p>
        </w:tc>
        <w:tc>
          <w:tcPr>
            <w:tcW w:w="379" w:type="pct"/>
            <w:tcBorders>
              <w:top w:val="inset" w:color="333333" w:sz="6" w:space="0"/>
              <w:left w:val="nil"/>
              <w:bottom w:val="inset" w:color="333333" w:sz="6" w:space="0"/>
              <w:right w:val="inset" w:color="333333" w:sz="6" w:space="0"/>
            </w:tcBorders>
            <w:vAlign w:val="center"/>
          </w:tcPr>
          <w:p w14:paraId="5F95157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452" w:type="pct"/>
            <w:vMerge w:val="restart"/>
            <w:tcBorders>
              <w:top w:val="inset" w:color="333333" w:sz="6" w:space="0"/>
              <w:left w:val="nil"/>
              <w:bottom w:val="inset" w:color="333333" w:sz="6" w:space="0"/>
              <w:right w:val="inset" w:color="333333" w:sz="6" w:space="0"/>
            </w:tcBorders>
            <w:vAlign w:val="center"/>
          </w:tcPr>
          <w:p w14:paraId="2BFEC11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基本收费为差额定率累进计费；总收费=基本收费+效益收费</w:t>
            </w:r>
          </w:p>
        </w:tc>
      </w:tr>
      <w:tr w14:paraId="74B258B7">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660" w:hRule="atLeast"/>
        </w:trPr>
        <w:tc>
          <w:tcPr>
            <w:tcW w:w="206" w:type="pct"/>
            <w:vMerge w:val="continue"/>
            <w:tcBorders>
              <w:top w:val="nil"/>
              <w:left w:val="inset" w:color="333333" w:sz="6" w:space="0"/>
              <w:bottom w:val="inset" w:color="333333" w:sz="6" w:space="0"/>
              <w:right w:val="inset" w:color="333333" w:sz="6" w:space="0"/>
            </w:tcBorders>
            <w:vAlign w:val="center"/>
          </w:tcPr>
          <w:p w14:paraId="3D78C95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292" w:type="pct"/>
            <w:gridSpan w:val="2"/>
            <w:vMerge w:val="continue"/>
            <w:tcBorders>
              <w:top w:val="nil"/>
              <w:left w:val="nil"/>
              <w:bottom w:val="inset" w:color="333333" w:sz="6" w:space="0"/>
              <w:right w:val="inset" w:color="333333" w:sz="6" w:space="0"/>
            </w:tcBorders>
            <w:vAlign w:val="center"/>
          </w:tcPr>
          <w:p w14:paraId="3DFEF25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285" w:type="pct"/>
            <w:tcBorders>
              <w:top w:val="inset" w:color="333333" w:sz="6" w:space="0"/>
              <w:left w:val="nil"/>
              <w:bottom w:val="inset" w:color="333333" w:sz="6" w:space="0"/>
              <w:right w:val="inset" w:color="333333" w:sz="6" w:space="0"/>
            </w:tcBorders>
            <w:vAlign w:val="center"/>
          </w:tcPr>
          <w:p w14:paraId="0218396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（2）效益收费</w:t>
            </w:r>
          </w:p>
        </w:tc>
        <w:tc>
          <w:tcPr>
            <w:tcW w:w="875" w:type="pct"/>
            <w:vMerge w:val="continue"/>
            <w:tcBorders>
              <w:top w:val="nil"/>
              <w:left w:val="nil"/>
              <w:bottom w:val="inset" w:color="333333" w:sz="6" w:space="0"/>
              <w:right w:val="inset" w:color="333333" w:sz="6" w:space="0"/>
            </w:tcBorders>
            <w:vAlign w:val="center"/>
          </w:tcPr>
          <w:p w14:paraId="1F0B819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380" w:type="pct"/>
            <w:tcBorders>
              <w:top w:val="inset" w:color="333333" w:sz="6" w:space="0"/>
              <w:left w:val="nil"/>
              <w:bottom w:val="inset" w:color="333333" w:sz="6" w:space="0"/>
              <w:right w:val="inset" w:color="333333" w:sz="6" w:space="0"/>
            </w:tcBorders>
            <w:vAlign w:val="center"/>
          </w:tcPr>
          <w:p w14:paraId="61AE69C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|核减额|+|核增额|</w:t>
            </w:r>
          </w:p>
        </w:tc>
        <w:tc>
          <w:tcPr>
            <w:tcW w:w="2507" w:type="pct"/>
            <w:gridSpan w:val="6"/>
            <w:tcBorders>
              <w:top w:val="inset" w:color="333333" w:sz="6" w:space="0"/>
              <w:left w:val="nil"/>
              <w:bottom w:val="inset" w:color="333333" w:sz="6" w:space="0"/>
              <w:right w:val="inset" w:color="333333" w:sz="6" w:space="0"/>
            </w:tcBorders>
            <w:vAlign w:val="center"/>
          </w:tcPr>
          <w:p w14:paraId="20E3A3D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452" w:type="pct"/>
            <w:vMerge w:val="continue"/>
            <w:tcBorders>
              <w:top w:val="inset" w:color="333333" w:sz="6" w:space="0"/>
              <w:left w:val="nil"/>
              <w:bottom w:val="inset" w:color="333333" w:sz="6" w:space="0"/>
              <w:right w:val="inset" w:color="333333" w:sz="6" w:space="0"/>
            </w:tcBorders>
            <w:vAlign w:val="center"/>
          </w:tcPr>
          <w:p w14:paraId="5DC805A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641B26AF">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23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3F31DF8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p>
        </w:tc>
        <w:tc>
          <w:tcPr>
            <w:tcW w:w="577" w:type="pct"/>
            <w:gridSpan w:val="3"/>
            <w:tcBorders>
              <w:top w:val="inset" w:color="333333" w:sz="6" w:space="0"/>
              <w:left w:val="nil"/>
              <w:bottom w:val="inset" w:color="333333" w:sz="6" w:space="0"/>
              <w:right w:val="inset" w:color="333333" w:sz="6" w:space="0"/>
            </w:tcBorders>
            <w:vAlign w:val="center"/>
          </w:tcPr>
          <w:p w14:paraId="7EB6DF0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施工阶段全过程造价控制</w:t>
            </w:r>
          </w:p>
        </w:tc>
        <w:tc>
          <w:tcPr>
            <w:tcW w:w="875" w:type="pct"/>
            <w:tcBorders>
              <w:top w:val="inset" w:color="333333" w:sz="6" w:space="0"/>
              <w:left w:val="nil"/>
              <w:bottom w:val="inset" w:color="333333" w:sz="6" w:space="0"/>
              <w:right w:val="inset" w:color="333333" w:sz="6" w:space="0"/>
            </w:tcBorders>
            <w:vAlign w:val="center"/>
          </w:tcPr>
          <w:p w14:paraId="3077F3A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工程量清单编制开始到工程结算审核的造价咨询服务</w:t>
            </w:r>
          </w:p>
        </w:tc>
        <w:tc>
          <w:tcPr>
            <w:tcW w:w="380" w:type="pct"/>
            <w:tcBorders>
              <w:top w:val="inset" w:color="333333" w:sz="6" w:space="0"/>
              <w:left w:val="nil"/>
              <w:bottom w:val="inset" w:color="333333" w:sz="6" w:space="0"/>
              <w:right w:val="inset" w:color="333333" w:sz="6" w:space="0"/>
            </w:tcBorders>
            <w:vAlign w:val="center"/>
          </w:tcPr>
          <w:p w14:paraId="0FD4A51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概算价</w:t>
            </w:r>
          </w:p>
        </w:tc>
        <w:tc>
          <w:tcPr>
            <w:tcW w:w="413" w:type="pct"/>
            <w:tcBorders>
              <w:top w:val="inset" w:color="333333" w:sz="6" w:space="0"/>
              <w:left w:val="nil"/>
              <w:bottom w:val="inset" w:color="333333" w:sz="6" w:space="0"/>
              <w:right w:val="inset" w:color="333333" w:sz="6" w:space="0"/>
            </w:tcBorders>
            <w:vAlign w:val="center"/>
          </w:tcPr>
          <w:p w14:paraId="6D0F731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86" w:type="pct"/>
            <w:tcBorders>
              <w:top w:val="inset" w:color="333333" w:sz="6" w:space="0"/>
              <w:left w:val="nil"/>
              <w:bottom w:val="inset" w:color="333333" w:sz="6" w:space="0"/>
              <w:right w:val="inset" w:color="333333" w:sz="6" w:space="0"/>
            </w:tcBorders>
            <w:vAlign w:val="center"/>
          </w:tcPr>
          <w:p w14:paraId="776CAE0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w:t>
            </w:r>
          </w:p>
        </w:tc>
        <w:tc>
          <w:tcPr>
            <w:tcW w:w="441" w:type="pct"/>
            <w:tcBorders>
              <w:top w:val="inset" w:color="333333" w:sz="6" w:space="0"/>
              <w:left w:val="nil"/>
              <w:bottom w:val="inset" w:color="333333" w:sz="6" w:space="0"/>
              <w:right w:val="inset" w:color="333333" w:sz="6" w:space="0"/>
            </w:tcBorders>
            <w:vAlign w:val="center"/>
          </w:tcPr>
          <w:p w14:paraId="7C5D088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w:t>
            </w:r>
          </w:p>
        </w:tc>
        <w:tc>
          <w:tcPr>
            <w:tcW w:w="495" w:type="pct"/>
            <w:tcBorders>
              <w:top w:val="inset" w:color="333333" w:sz="6" w:space="0"/>
              <w:left w:val="nil"/>
              <w:bottom w:val="inset" w:color="333333" w:sz="6" w:space="0"/>
              <w:right w:val="inset" w:color="333333" w:sz="6" w:space="0"/>
            </w:tcBorders>
            <w:vAlign w:val="center"/>
          </w:tcPr>
          <w:p w14:paraId="2110114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393" w:type="pct"/>
            <w:tcBorders>
              <w:top w:val="inset" w:color="333333" w:sz="6" w:space="0"/>
              <w:left w:val="nil"/>
              <w:bottom w:val="inset" w:color="333333" w:sz="6" w:space="0"/>
              <w:right w:val="inset" w:color="333333" w:sz="6" w:space="0"/>
            </w:tcBorders>
            <w:vAlign w:val="center"/>
          </w:tcPr>
          <w:p w14:paraId="7710652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379" w:type="pct"/>
            <w:tcBorders>
              <w:top w:val="inset" w:color="333333" w:sz="6" w:space="0"/>
              <w:left w:val="nil"/>
              <w:bottom w:val="inset" w:color="333333" w:sz="6" w:space="0"/>
              <w:right w:val="inset" w:color="333333" w:sz="6" w:space="0"/>
            </w:tcBorders>
            <w:vAlign w:val="center"/>
          </w:tcPr>
          <w:p w14:paraId="791B8DC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452" w:type="pct"/>
            <w:tcBorders>
              <w:top w:val="inset" w:color="333333" w:sz="6" w:space="0"/>
              <w:left w:val="nil"/>
              <w:bottom w:val="inset" w:color="333333" w:sz="6" w:space="0"/>
              <w:right w:val="inset" w:color="333333" w:sz="6" w:space="0"/>
            </w:tcBorders>
            <w:vAlign w:val="center"/>
          </w:tcPr>
          <w:p w14:paraId="3C0AED9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差额定率累进计费；不包驻场人员的费用</w:t>
            </w:r>
          </w:p>
        </w:tc>
      </w:tr>
      <w:tr w14:paraId="0423B387">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990" w:hRule="atLeast"/>
        </w:trPr>
        <w:tc>
          <w:tcPr>
            <w:tcW w:w="206" w:type="pct"/>
            <w:vMerge w:val="restart"/>
            <w:tcBorders>
              <w:top w:val="nil"/>
              <w:left w:val="inset" w:color="333333" w:sz="6" w:space="0"/>
              <w:bottom w:val="inset" w:color="333333" w:sz="6" w:space="0"/>
              <w:right w:val="inset" w:color="333333" w:sz="6" w:space="0"/>
            </w:tcBorders>
            <w:vAlign w:val="center"/>
          </w:tcPr>
          <w:p w14:paraId="19AD973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577" w:type="pct"/>
            <w:gridSpan w:val="3"/>
            <w:vMerge w:val="restart"/>
            <w:tcBorders>
              <w:top w:val="nil"/>
              <w:left w:val="nil"/>
              <w:bottom w:val="inset" w:color="333333" w:sz="6" w:space="0"/>
              <w:right w:val="inset" w:color="333333" w:sz="6" w:space="0"/>
            </w:tcBorders>
            <w:vAlign w:val="center"/>
          </w:tcPr>
          <w:p w14:paraId="1D86E8B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工程造价纠纷鉴证</w:t>
            </w:r>
          </w:p>
        </w:tc>
        <w:tc>
          <w:tcPr>
            <w:tcW w:w="875" w:type="pct"/>
            <w:tcBorders>
              <w:top w:val="inset" w:color="333333" w:sz="6" w:space="0"/>
              <w:left w:val="nil"/>
              <w:bottom w:val="inset" w:color="333333" w:sz="6" w:space="0"/>
              <w:right w:val="inset" w:color="333333" w:sz="6" w:space="0"/>
            </w:tcBorders>
            <w:vAlign w:val="center"/>
          </w:tcPr>
          <w:p w14:paraId="4440633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受委托进行鉴证</w:t>
            </w:r>
          </w:p>
        </w:tc>
        <w:tc>
          <w:tcPr>
            <w:tcW w:w="380" w:type="pct"/>
            <w:tcBorders>
              <w:top w:val="inset" w:color="333333" w:sz="6" w:space="0"/>
              <w:left w:val="nil"/>
              <w:bottom w:val="inset" w:color="333333" w:sz="6" w:space="0"/>
              <w:right w:val="inset" w:color="333333" w:sz="6" w:space="0"/>
            </w:tcBorders>
            <w:vAlign w:val="center"/>
          </w:tcPr>
          <w:p w14:paraId="72BA0CB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鉴证后标的额</w:t>
            </w:r>
          </w:p>
        </w:tc>
        <w:tc>
          <w:tcPr>
            <w:tcW w:w="413" w:type="pct"/>
            <w:tcBorders>
              <w:top w:val="inset" w:color="333333" w:sz="6" w:space="0"/>
              <w:left w:val="nil"/>
              <w:bottom w:val="inset" w:color="333333" w:sz="6" w:space="0"/>
              <w:right w:val="inset" w:color="333333" w:sz="6" w:space="0"/>
            </w:tcBorders>
            <w:vAlign w:val="center"/>
          </w:tcPr>
          <w:p w14:paraId="5C19F9F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86" w:type="pct"/>
            <w:tcBorders>
              <w:top w:val="inset" w:color="333333" w:sz="6" w:space="0"/>
              <w:left w:val="nil"/>
              <w:bottom w:val="inset" w:color="333333" w:sz="6" w:space="0"/>
              <w:right w:val="inset" w:color="333333" w:sz="6" w:space="0"/>
            </w:tcBorders>
            <w:vAlign w:val="center"/>
          </w:tcPr>
          <w:p w14:paraId="5D15641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w:t>
            </w:r>
          </w:p>
        </w:tc>
        <w:tc>
          <w:tcPr>
            <w:tcW w:w="441" w:type="pct"/>
            <w:tcBorders>
              <w:top w:val="inset" w:color="333333" w:sz="6" w:space="0"/>
              <w:left w:val="nil"/>
              <w:bottom w:val="inset" w:color="333333" w:sz="6" w:space="0"/>
              <w:right w:val="inset" w:color="333333" w:sz="6" w:space="0"/>
            </w:tcBorders>
            <w:vAlign w:val="center"/>
          </w:tcPr>
          <w:p w14:paraId="4A4756A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495" w:type="pct"/>
            <w:tcBorders>
              <w:top w:val="inset" w:color="333333" w:sz="6" w:space="0"/>
              <w:left w:val="nil"/>
              <w:bottom w:val="inset" w:color="333333" w:sz="6" w:space="0"/>
              <w:right w:val="inset" w:color="333333" w:sz="6" w:space="0"/>
            </w:tcBorders>
            <w:vAlign w:val="center"/>
          </w:tcPr>
          <w:p w14:paraId="378AEB1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393" w:type="pct"/>
            <w:tcBorders>
              <w:top w:val="inset" w:color="333333" w:sz="6" w:space="0"/>
              <w:left w:val="nil"/>
              <w:bottom w:val="inset" w:color="333333" w:sz="6" w:space="0"/>
              <w:right w:val="inset" w:color="333333" w:sz="6" w:space="0"/>
            </w:tcBorders>
            <w:vAlign w:val="center"/>
          </w:tcPr>
          <w:p w14:paraId="52E8656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p>
        </w:tc>
        <w:tc>
          <w:tcPr>
            <w:tcW w:w="379" w:type="pct"/>
            <w:tcBorders>
              <w:top w:val="inset" w:color="333333" w:sz="6" w:space="0"/>
              <w:left w:val="nil"/>
              <w:bottom w:val="inset" w:color="333333" w:sz="6" w:space="0"/>
              <w:right w:val="inset" w:color="333333" w:sz="6" w:space="0"/>
            </w:tcBorders>
            <w:vAlign w:val="center"/>
          </w:tcPr>
          <w:p w14:paraId="0F3BDC3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452" w:type="pct"/>
            <w:tcBorders>
              <w:top w:val="inset" w:color="333333" w:sz="6" w:space="0"/>
              <w:left w:val="nil"/>
              <w:bottom w:val="inset" w:color="333333" w:sz="6" w:space="0"/>
              <w:right w:val="inset" w:color="333333" w:sz="6" w:space="0"/>
            </w:tcBorders>
            <w:vAlign w:val="center"/>
          </w:tcPr>
          <w:p w14:paraId="24E8D84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差额定率累进计费；原被告单方有造价或双方均无造价</w:t>
            </w:r>
          </w:p>
        </w:tc>
      </w:tr>
      <w:tr w14:paraId="35D30DB1">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615" w:hRule="atLeast"/>
        </w:trPr>
        <w:tc>
          <w:tcPr>
            <w:tcW w:w="206" w:type="pct"/>
            <w:vMerge w:val="continue"/>
            <w:tcBorders>
              <w:top w:val="nil"/>
              <w:left w:val="inset" w:color="333333" w:sz="6" w:space="0"/>
              <w:bottom w:val="inset" w:color="333333" w:sz="6" w:space="0"/>
              <w:right w:val="inset" w:color="333333" w:sz="6" w:space="0"/>
            </w:tcBorders>
            <w:vAlign w:val="center"/>
          </w:tcPr>
          <w:p w14:paraId="4D0F7A1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577" w:type="pct"/>
            <w:gridSpan w:val="3"/>
            <w:vMerge w:val="continue"/>
            <w:tcBorders>
              <w:top w:val="nil"/>
              <w:left w:val="nil"/>
              <w:bottom w:val="inset" w:color="333333" w:sz="6" w:space="0"/>
              <w:right w:val="inset" w:color="333333" w:sz="6" w:space="0"/>
            </w:tcBorders>
            <w:vAlign w:val="center"/>
          </w:tcPr>
          <w:p w14:paraId="62439C2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875" w:type="pct"/>
            <w:tcBorders>
              <w:top w:val="inset" w:color="333333" w:sz="6" w:space="0"/>
              <w:left w:val="nil"/>
              <w:bottom w:val="inset" w:color="333333" w:sz="6" w:space="0"/>
              <w:right w:val="inset" w:color="333333" w:sz="6" w:space="0"/>
            </w:tcBorders>
            <w:vAlign w:val="center"/>
          </w:tcPr>
          <w:p w14:paraId="39772D1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受委托进行鉴证</w:t>
            </w:r>
          </w:p>
        </w:tc>
        <w:tc>
          <w:tcPr>
            <w:tcW w:w="380" w:type="pct"/>
            <w:tcBorders>
              <w:top w:val="inset" w:color="333333" w:sz="6" w:space="0"/>
              <w:left w:val="nil"/>
              <w:bottom w:val="inset" w:color="333333" w:sz="6" w:space="0"/>
              <w:right w:val="inset" w:color="333333" w:sz="6" w:space="0"/>
            </w:tcBorders>
            <w:vAlign w:val="center"/>
          </w:tcPr>
          <w:p w14:paraId="67127EF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争议差额</w:t>
            </w:r>
          </w:p>
        </w:tc>
        <w:tc>
          <w:tcPr>
            <w:tcW w:w="2507" w:type="pct"/>
            <w:gridSpan w:val="6"/>
            <w:tcBorders>
              <w:top w:val="inset" w:color="333333" w:sz="6" w:space="0"/>
              <w:left w:val="nil"/>
              <w:bottom w:val="inset" w:color="333333" w:sz="6" w:space="0"/>
              <w:right w:val="inset" w:color="333333" w:sz="6" w:space="0"/>
            </w:tcBorders>
            <w:vAlign w:val="center"/>
          </w:tcPr>
          <w:p w14:paraId="49A9D93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争议差额在1000万以下（含1000万）按5%收取，1000万以上按4%收取</w:t>
            </w:r>
          </w:p>
        </w:tc>
        <w:tc>
          <w:tcPr>
            <w:tcW w:w="452" w:type="pct"/>
            <w:tcBorders>
              <w:top w:val="inset" w:color="333333" w:sz="6" w:space="0"/>
              <w:left w:val="nil"/>
              <w:bottom w:val="inset" w:color="333333" w:sz="6" w:space="0"/>
              <w:right w:val="inset" w:color="333333" w:sz="6" w:space="0"/>
            </w:tcBorders>
            <w:vAlign w:val="center"/>
          </w:tcPr>
          <w:p w14:paraId="222938A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双方各有造价</w:t>
            </w:r>
          </w:p>
        </w:tc>
      </w:tr>
      <w:tr w14:paraId="31806963">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17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77EC900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577" w:type="pct"/>
            <w:gridSpan w:val="3"/>
            <w:tcBorders>
              <w:top w:val="inset" w:color="333333" w:sz="6" w:space="0"/>
              <w:left w:val="nil"/>
              <w:bottom w:val="inset" w:color="333333" w:sz="6" w:space="0"/>
              <w:right w:val="inset" w:color="333333" w:sz="6" w:space="0"/>
            </w:tcBorders>
            <w:vAlign w:val="center"/>
          </w:tcPr>
          <w:p w14:paraId="6E5115D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钢筋及预埋件计算</w:t>
            </w:r>
          </w:p>
        </w:tc>
        <w:tc>
          <w:tcPr>
            <w:tcW w:w="875" w:type="pct"/>
            <w:tcBorders>
              <w:top w:val="inset" w:color="333333" w:sz="6" w:space="0"/>
              <w:left w:val="nil"/>
              <w:bottom w:val="inset" w:color="333333" w:sz="6" w:space="0"/>
              <w:right w:val="inset" w:color="333333" w:sz="6" w:space="0"/>
            </w:tcBorders>
            <w:vAlign w:val="center"/>
          </w:tcPr>
          <w:p w14:paraId="2448B78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依据施工图纸、设计标准和施工操作规程计算或审核钢筋（或铁件）重量，提供完整的钢筋（或铁件）重量计算明细表、汇总表或审核报告</w:t>
            </w:r>
          </w:p>
        </w:tc>
        <w:tc>
          <w:tcPr>
            <w:tcW w:w="380" w:type="pct"/>
            <w:tcBorders>
              <w:top w:val="inset" w:color="333333" w:sz="6" w:space="0"/>
              <w:left w:val="nil"/>
              <w:bottom w:val="inset" w:color="333333" w:sz="6" w:space="0"/>
              <w:right w:val="inset" w:color="333333" w:sz="6" w:space="0"/>
            </w:tcBorders>
            <w:vAlign w:val="center"/>
          </w:tcPr>
          <w:p w14:paraId="4CD4BDD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按实际钢筋使用量</w:t>
            </w:r>
          </w:p>
        </w:tc>
        <w:tc>
          <w:tcPr>
            <w:tcW w:w="2507" w:type="pct"/>
            <w:gridSpan w:val="6"/>
            <w:tcBorders>
              <w:top w:val="inset" w:color="333333" w:sz="6" w:space="0"/>
              <w:left w:val="nil"/>
              <w:bottom w:val="inset" w:color="333333" w:sz="6" w:space="0"/>
              <w:right w:val="inset" w:color="333333" w:sz="6" w:space="0"/>
            </w:tcBorders>
            <w:vAlign w:val="center"/>
          </w:tcPr>
          <w:p w14:paraId="3D9E7B2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12元/吨</w:t>
            </w:r>
          </w:p>
        </w:tc>
        <w:tc>
          <w:tcPr>
            <w:tcW w:w="452" w:type="pct"/>
            <w:tcBorders>
              <w:top w:val="inset" w:color="333333" w:sz="6" w:space="0"/>
              <w:left w:val="nil"/>
              <w:bottom w:val="inset" w:color="333333" w:sz="6" w:space="0"/>
              <w:right w:val="inset" w:color="333333" w:sz="6" w:space="0"/>
            </w:tcBorders>
            <w:vAlign w:val="center"/>
          </w:tcPr>
          <w:p w14:paraId="086844A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w:t>
            </w:r>
          </w:p>
        </w:tc>
      </w:tr>
      <w:tr w14:paraId="3F940DE2">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17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4A8E7A8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577" w:type="pct"/>
            <w:gridSpan w:val="3"/>
            <w:tcBorders>
              <w:top w:val="inset" w:color="333333" w:sz="6" w:space="0"/>
              <w:left w:val="nil"/>
              <w:bottom w:val="inset" w:color="333333" w:sz="6" w:space="0"/>
              <w:right w:val="inset" w:color="333333" w:sz="6" w:space="0"/>
            </w:tcBorders>
            <w:vAlign w:val="center"/>
          </w:tcPr>
          <w:p w14:paraId="45663CF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工程造价咨询工日收费标准</w:t>
            </w:r>
          </w:p>
        </w:tc>
        <w:tc>
          <w:tcPr>
            <w:tcW w:w="875" w:type="pct"/>
            <w:tcBorders>
              <w:top w:val="inset" w:color="333333" w:sz="6" w:space="0"/>
              <w:left w:val="nil"/>
              <w:bottom w:val="inset" w:color="333333" w:sz="6" w:space="0"/>
              <w:right w:val="inset" w:color="333333" w:sz="6" w:space="0"/>
            </w:tcBorders>
            <w:vAlign w:val="center"/>
          </w:tcPr>
          <w:p w14:paraId="71DBABA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受委托派出专业人员从事工程造价咨询服务</w:t>
            </w:r>
          </w:p>
        </w:tc>
        <w:tc>
          <w:tcPr>
            <w:tcW w:w="380" w:type="pct"/>
            <w:tcBorders>
              <w:top w:val="inset" w:color="333333" w:sz="6" w:space="0"/>
              <w:left w:val="nil"/>
              <w:bottom w:val="inset" w:color="333333" w:sz="6" w:space="0"/>
              <w:right w:val="inset" w:color="333333" w:sz="6" w:space="0"/>
            </w:tcBorders>
            <w:vAlign w:val="center"/>
          </w:tcPr>
          <w:p w14:paraId="6F47D78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工时</w:t>
            </w:r>
          </w:p>
        </w:tc>
        <w:tc>
          <w:tcPr>
            <w:tcW w:w="2507" w:type="pct"/>
            <w:gridSpan w:val="6"/>
            <w:tcBorders>
              <w:top w:val="inset" w:color="333333" w:sz="6" w:space="0"/>
              <w:left w:val="nil"/>
              <w:bottom w:val="inset" w:color="333333" w:sz="6" w:space="0"/>
              <w:right w:val="inset" w:color="333333" w:sz="6" w:space="0"/>
            </w:tcBorders>
            <w:vAlign w:val="center"/>
          </w:tcPr>
          <w:p w14:paraId="430EC58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具有高级工程师职称的注册造价师：190元/人·工作小时；注册造价师或高级职称的咨询人员：150元/人·工作小时；工程造价中级资格专业人员：100元/人·工作小时；工程造价初级资格专业人员：60元/人·工作小时</w:t>
            </w:r>
          </w:p>
        </w:tc>
        <w:tc>
          <w:tcPr>
            <w:tcW w:w="452" w:type="pct"/>
            <w:tcBorders>
              <w:top w:val="inset" w:color="333333" w:sz="6" w:space="0"/>
              <w:left w:val="nil"/>
              <w:bottom w:val="inset" w:color="333333" w:sz="6" w:space="0"/>
              <w:right w:val="inset" w:color="333333" w:sz="6" w:space="0"/>
            </w:tcBorders>
            <w:vAlign w:val="center"/>
          </w:tcPr>
          <w:p w14:paraId="29301A6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w:t>
            </w:r>
          </w:p>
        </w:tc>
      </w:tr>
      <w:tr w14:paraId="7C26ACE5">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525" w:hRule="atLeast"/>
        </w:trPr>
        <w:tc>
          <w:tcPr>
            <w:tcW w:w="206" w:type="pct"/>
            <w:vMerge w:val="restart"/>
            <w:tcBorders>
              <w:top w:val="inset" w:color="333333" w:sz="6" w:space="0"/>
              <w:left w:val="inset" w:color="333333" w:sz="6" w:space="0"/>
              <w:right w:val="inset" w:color="333333" w:sz="6" w:space="0"/>
            </w:tcBorders>
            <w:vAlign w:val="center"/>
          </w:tcPr>
          <w:p w14:paraId="4C580DA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tc>
        <w:tc>
          <w:tcPr>
            <w:tcW w:w="4341" w:type="pct"/>
            <w:gridSpan w:val="11"/>
            <w:tcBorders>
              <w:top w:val="inset" w:color="333333" w:sz="6" w:space="0"/>
              <w:left w:val="nil"/>
              <w:bottom w:val="inset" w:color="333333" w:sz="6" w:space="0"/>
              <w:right w:val="inset" w:color="333333" w:sz="6" w:space="0"/>
            </w:tcBorders>
            <w:vAlign w:val="center"/>
          </w:tcPr>
          <w:p w14:paraId="468881A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1.以上收费标准为最高收费标准，委托双方可在最高收费标准范围内协商确定具体收费标准。</w:t>
            </w:r>
          </w:p>
        </w:tc>
        <w:tc>
          <w:tcPr>
            <w:tcW w:w="452" w:type="pct"/>
            <w:tcBorders>
              <w:top w:val="inset" w:color="333333" w:sz="6" w:space="0"/>
              <w:left w:val="nil"/>
              <w:bottom w:val="inset" w:color="333333" w:sz="6" w:space="0"/>
              <w:right w:val="inset" w:color="333333" w:sz="6" w:space="0"/>
            </w:tcBorders>
            <w:vAlign w:val="center"/>
          </w:tcPr>
          <w:p w14:paraId="7A6DEA0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4EA50D35">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390" w:hRule="atLeast"/>
        </w:trPr>
        <w:tc>
          <w:tcPr>
            <w:tcW w:w="206" w:type="pct"/>
            <w:vMerge w:val="continue"/>
            <w:tcBorders>
              <w:left w:val="inset" w:color="333333" w:sz="6" w:space="0"/>
              <w:right w:val="inset" w:color="333333" w:sz="6" w:space="0"/>
            </w:tcBorders>
            <w:vAlign w:val="center"/>
          </w:tcPr>
          <w:p w14:paraId="5F72EAE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4341" w:type="pct"/>
            <w:gridSpan w:val="11"/>
            <w:tcBorders>
              <w:top w:val="inset" w:color="333333" w:sz="6" w:space="0"/>
              <w:left w:val="nil"/>
              <w:bottom w:val="inset" w:color="333333" w:sz="6" w:space="0"/>
              <w:right w:val="inset" w:color="333333" w:sz="6" w:space="0"/>
            </w:tcBorders>
            <w:vAlign w:val="center"/>
          </w:tcPr>
          <w:p w14:paraId="2D3C4E3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2.造价咨询费不足2000元的按2000元收取。</w:t>
            </w:r>
          </w:p>
        </w:tc>
        <w:tc>
          <w:tcPr>
            <w:tcW w:w="452" w:type="pct"/>
            <w:tcBorders>
              <w:top w:val="inset" w:color="333333" w:sz="6" w:space="0"/>
              <w:left w:val="nil"/>
              <w:bottom w:val="inset" w:color="333333" w:sz="6" w:space="0"/>
              <w:right w:val="inset" w:color="333333" w:sz="6" w:space="0"/>
            </w:tcBorders>
            <w:vAlign w:val="center"/>
          </w:tcPr>
          <w:p w14:paraId="2DCB487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022D8BB8">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390" w:hRule="atLeast"/>
        </w:trPr>
        <w:tc>
          <w:tcPr>
            <w:tcW w:w="206" w:type="pct"/>
            <w:vMerge w:val="continue"/>
            <w:tcBorders>
              <w:left w:val="inset" w:color="333333" w:sz="6" w:space="0"/>
              <w:right w:val="inset" w:color="333333" w:sz="6" w:space="0"/>
            </w:tcBorders>
            <w:vAlign w:val="center"/>
          </w:tcPr>
          <w:p w14:paraId="3B5398B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4341" w:type="pct"/>
            <w:gridSpan w:val="11"/>
            <w:tcBorders>
              <w:top w:val="inset" w:color="333333" w:sz="6" w:space="0"/>
              <w:left w:val="nil"/>
              <w:bottom w:val="inset" w:color="333333" w:sz="6" w:space="0"/>
              <w:right w:val="inset" w:color="333333" w:sz="6" w:space="0"/>
            </w:tcBorders>
            <w:vAlign w:val="center"/>
          </w:tcPr>
          <w:p w14:paraId="0341D4B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3.工程主材无论是否计入工程造价，均应计入取费基数。合同包干价加签证项目，包干价部分应计入取费基数。</w:t>
            </w:r>
          </w:p>
        </w:tc>
        <w:tc>
          <w:tcPr>
            <w:tcW w:w="452" w:type="pct"/>
            <w:tcBorders>
              <w:top w:val="inset" w:color="333333" w:sz="6" w:space="0"/>
              <w:left w:val="nil"/>
              <w:bottom w:val="inset" w:color="333333" w:sz="6" w:space="0"/>
              <w:right w:val="inset" w:color="333333" w:sz="6" w:space="0"/>
            </w:tcBorders>
            <w:vAlign w:val="center"/>
          </w:tcPr>
          <w:p w14:paraId="57D923D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008B1D2F">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435" w:hRule="atLeast"/>
        </w:trPr>
        <w:tc>
          <w:tcPr>
            <w:tcW w:w="206" w:type="pct"/>
            <w:vMerge w:val="continue"/>
            <w:tcBorders>
              <w:left w:val="inset" w:color="333333" w:sz="6" w:space="0"/>
              <w:bottom w:val="inset" w:color="333333" w:sz="6" w:space="0"/>
              <w:right w:val="inset" w:color="333333" w:sz="6" w:space="0"/>
            </w:tcBorders>
            <w:vAlign w:val="center"/>
          </w:tcPr>
          <w:p w14:paraId="23A6C46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4341" w:type="pct"/>
            <w:gridSpan w:val="11"/>
            <w:tcBorders>
              <w:top w:val="inset" w:color="333333" w:sz="6" w:space="0"/>
              <w:left w:val="nil"/>
              <w:bottom w:val="inset" w:color="333333" w:sz="6" w:space="0"/>
              <w:right w:val="inset" w:color="333333" w:sz="6" w:space="0"/>
            </w:tcBorders>
            <w:vAlign w:val="center"/>
          </w:tcPr>
          <w:p w14:paraId="230194E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4.工程预算的编制或审核、工程结算的编制或审核的收费标准不包括钢筋及预埋件计算，凡要求钢筋及预埋件计算的按相对应的收费标准另行收费。</w:t>
            </w:r>
          </w:p>
        </w:tc>
        <w:tc>
          <w:tcPr>
            <w:tcW w:w="452" w:type="pct"/>
            <w:tcBorders>
              <w:top w:val="inset" w:color="333333" w:sz="6" w:space="0"/>
              <w:left w:val="nil"/>
              <w:bottom w:val="inset" w:color="333333" w:sz="6" w:space="0"/>
              <w:right w:val="inset" w:color="333333" w:sz="6" w:space="0"/>
            </w:tcBorders>
            <w:vAlign w:val="center"/>
          </w:tcPr>
          <w:p w14:paraId="71F90B1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bl>
    <w:p w14:paraId="0B7F439C">
      <w:pPr>
        <w:keepNext w:val="0"/>
        <w:keepLines w:val="0"/>
        <w:pageBreakBefore w:val="0"/>
        <w:widowControl/>
        <w:kinsoku/>
        <w:wordWrap/>
        <w:overflowPunct/>
        <w:topLinePunct/>
        <w:autoSpaceDE/>
        <w:autoSpaceDN/>
        <w:bidi w:val="0"/>
        <w:adjustRightInd w:val="0"/>
        <w:snapToGrid w:val="0"/>
        <w:spacing w:line="360" w:lineRule="auto"/>
        <w:textAlignment w:val="baseline"/>
        <w:rPr>
          <w:rFonts w:hint="eastAsia" w:ascii="宋体" w:hAnsi="宋体" w:eastAsia="宋体" w:cs="宋体"/>
          <w:color w:val="auto"/>
          <w:spacing w:val="0"/>
          <w:sz w:val="21"/>
          <w:szCs w:val="21"/>
          <w:highlight w:val="none"/>
        </w:rPr>
        <w:sectPr>
          <w:pgSz w:w="16838" w:h="11906" w:orient="landscape"/>
          <w:pgMar w:top="1043" w:right="1191" w:bottom="1043" w:left="1191" w:header="720" w:footer="720" w:gutter="0"/>
          <w:cols w:space="0" w:num="1"/>
          <w:titlePg/>
          <w:rtlGutter w:val="0"/>
          <w:docGrid w:linePitch="326" w:charSpace="0"/>
        </w:sectPr>
      </w:pPr>
    </w:p>
    <w:p w14:paraId="355740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bCs/>
          <w:color w:val="auto"/>
          <w:spacing w:val="7"/>
          <w:kern w:val="2"/>
          <w:sz w:val="21"/>
          <w:szCs w:val="21"/>
          <w:highlight w:val="none"/>
          <w:lang w:val="en-US" w:eastAsia="zh-CN" w:bidi="ar"/>
        </w:rPr>
        <w:t>附件2.考核表</w:t>
      </w:r>
    </w:p>
    <w:p w14:paraId="68B49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31" w:rightChars="15"/>
        <w:contextualSpacing/>
        <w:jc w:val="center"/>
        <w:textAlignment w:val="auto"/>
        <w:outlineLvl w:val="9"/>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8"/>
          <w:szCs w:val="44"/>
          <w:highlight w:val="none"/>
          <w:lang w:val="en-US" w:eastAsia="zh-CN" w:bidi="ar"/>
        </w:rPr>
        <w:t>考核表</w:t>
      </w:r>
    </w:p>
    <w:p w14:paraId="1DE27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考核单位：                       被考核单位：                             日期：</w:t>
      </w:r>
    </w:p>
    <w:p w14:paraId="7B3D5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kern w:val="2"/>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 xml:space="preserve">项目名称： </w:t>
      </w:r>
    </w:p>
    <w:tbl>
      <w:tblPr>
        <w:tblStyle w:val="38"/>
        <w:tblW w:w="514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3"/>
        <w:gridCol w:w="764"/>
        <w:gridCol w:w="694"/>
        <w:gridCol w:w="7570"/>
        <w:gridCol w:w="1088"/>
      </w:tblGrid>
      <w:tr w14:paraId="0DEA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1" w:type="pct"/>
            <w:shd w:val="clear" w:color="auto" w:fill="auto"/>
            <w:vAlign w:val="center"/>
          </w:tcPr>
          <w:p w14:paraId="67CC7296">
            <w:pPr>
              <w:spacing w:line="240" w:lineRule="exact"/>
              <w:jc w:val="center"/>
              <w:rPr>
                <w:rFonts w:ascii="Times New Roman" w:hAnsi="Times New Roman" w:eastAsia="仿宋_GB2312" w:cs="Times New Roman"/>
                <w:b/>
                <w:color w:val="auto"/>
                <w:sz w:val="20"/>
                <w:szCs w:val="20"/>
              </w:rPr>
            </w:pPr>
            <w:r>
              <w:rPr>
                <w:rFonts w:ascii="Times New Roman" w:hAnsi="Times New Roman" w:eastAsia="仿宋_GB2312" w:cs="Times New Roman"/>
                <w:b/>
                <w:color w:val="auto"/>
                <w:sz w:val="20"/>
                <w:szCs w:val="20"/>
              </w:rPr>
              <w:t>序号</w:t>
            </w:r>
          </w:p>
        </w:tc>
        <w:tc>
          <w:tcPr>
            <w:tcW w:w="348" w:type="pct"/>
            <w:shd w:val="clear" w:color="auto" w:fill="auto"/>
            <w:vAlign w:val="center"/>
          </w:tcPr>
          <w:p w14:paraId="099B9C3B">
            <w:pPr>
              <w:spacing w:line="240" w:lineRule="exact"/>
              <w:jc w:val="center"/>
              <w:rPr>
                <w:rFonts w:ascii="Times New Roman" w:hAnsi="Times New Roman" w:eastAsia="仿宋_GB2312" w:cs="Times New Roman"/>
                <w:b/>
                <w:color w:val="auto"/>
                <w:sz w:val="20"/>
                <w:szCs w:val="20"/>
              </w:rPr>
            </w:pPr>
            <w:r>
              <w:rPr>
                <w:rFonts w:ascii="Times New Roman" w:hAnsi="Times New Roman" w:eastAsia="仿宋_GB2312" w:cs="Times New Roman"/>
                <w:b/>
                <w:color w:val="auto"/>
                <w:sz w:val="20"/>
                <w:szCs w:val="20"/>
              </w:rPr>
              <w:t>评价内容</w:t>
            </w:r>
          </w:p>
        </w:tc>
        <w:tc>
          <w:tcPr>
            <w:tcW w:w="317" w:type="pct"/>
            <w:shd w:val="clear" w:color="auto" w:fill="auto"/>
            <w:vAlign w:val="center"/>
          </w:tcPr>
          <w:p w14:paraId="0D7CC6C1">
            <w:pPr>
              <w:spacing w:line="240" w:lineRule="exact"/>
              <w:jc w:val="center"/>
              <w:rPr>
                <w:rFonts w:ascii="Times New Roman" w:hAnsi="Times New Roman" w:eastAsia="仿宋_GB2312" w:cs="Times New Roman"/>
                <w:b/>
                <w:color w:val="auto"/>
                <w:sz w:val="20"/>
                <w:szCs w:val="20"/>
              </w:rPr>
            </w:pPr>
            <w:r>
              <w:rPr>
                <w:rFonts w:ascii="Times New Roman" w:hAnsi="Times New Roman" w:eastAsia="仿宋_GB2312" w:cs="Times New Roman"/>
                <w:b/>
                <w:color w:val="auto"/>
                <w:sz w:val="20"/>
                <w:szCs w:val="20"/>
              </w:rPr>
              <w:t>各项分值</w:t>
            </w:r>
          </w:p>
        </w:tc>
        <w:tc>
          <w:tcPr>
            <w:tcW w:w="3459" w:type="pct"/>
            <w:shd w:val="clear" w:color="auto" w:fill="auto"/>
            <w:vAlign w:val="center"/>
          </w:tcPr>
          <w:p w14:paraId="25B53625">
            <w:pPr>
              <w:spacing w:line="240" w:lineRule="exact"/>
              <w:jc w:val="center"/>
              <w:rPr>
                <w:rFonts w:ascii="Times New Roman" w:hAnsi="Times New Roman" w:eastAsia="仿宋_GB2312" w:cs="Times New Roman"/>
                <w:b/>
                <w:color w:val="auto"/>
                <w:sz w:val="20"/>
                <w:szCs w:val="20"/>
              </w:rPr>
            </w:pPr>
            <w:r>
              <w:rPr>
                <w:rFonts w:ascii="Times New Roman" w:hAnsi="Times New Roman" w:eastAsia="仿宋_GB2312" w:cs="Times New Roman"/>
                <w:b/>
                <w:color w:val="auto"/>
                <w:sz w:val="20"/>
                <w:szCs w:val="20"/>
              </w:rPr>
              <w:t>具体内容</w:t>
            </w:r>
          </w:p>
        </w:tc>
        <w:tc>
          <w:tcPr>
            <w:tcW w:w="497" w:type="pct"/>
            <w:shd w:val="clear" w:color="auto" w:fill="auto"/>
            <w:vAlign w:val="center"/>
          </w:tcPr>
          <w:p w14:paraId="213F35BD">
            <w:pPr>
              <w:spacing w:line="240" w:lineRule="exact"/>
              <w:jc w:val="center"/>
              <w:rPr>
                <w:rFonts w:ascii="Times New Roman" w:hAnsi="Times New Roman" w:eastAsia="仿宋_GB2312" w:cs="Times New Roman"/>
                <w:b/>
                <w:color w:val="auto"/>
                <w:sz w:val="20"/>
                <w:szCs w:val="20"/>
              </w:rPr>
            </w:pPr>
            <w:r>
              <w:rPr>
                <w:rFonts w:ascii="Times New Roman" w:hAnsi="Times New Roman" w:eastAsia="仿宋_GB2312" w:cs="Times New Roman"/>
                <w:b/>
                <w:color w:val="auto"/>
                <w:sz w:val="20"/>
                <w:szCs w:val="20"/>
              </w:rPr>
              <w:t>综合分值</w:t>
            </w:r>
          </w:p>
        </w:tc>
      </w:tr>
      <w:tr w14:paraId="2C38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221" w:type="pct"/>
            <w:vMerge w:val="restart"/>
            <w:shd w:val="clear" w:color="auto" w:fill="auto"/>
            <w:vAlign w:val="center"/>
          </w:tcPr>
          <w:p w14:paraId="787DF47D">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1</w:t>
            </w:r>
          </w:p>
        </w:tc>
        <w:tc>
          <w:tcPr>
            <w:tcW w:w="348" w:type="pct"/>
            <w:vMerge w:val="restart"/>
            <w:shd w:val="clear" w:color="auto" w:fill="auto"/>
            <w:vAlign w:val="center"/>
          </w:tcPr>
          <w:p w14:paraId="3E99B92C">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业务水平</w:t>
            </w:r>
          </w:p>
        </w:tc>
        <w:tc>
          <w:tcPr>
            <w:tcW w:w="317" w:type="pct"/>
            <w:vMerge w:val="restart"/>
            <w:shd w:val="clear" w:color="auto" w:fill="auto"/>
            <w:vAlign w:val="center"/>
          </w:tcPr>
          <w:p w14:paraId="3FECF30A">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18</w:t>
            </w:r>
          </w:p>
        </w:tc>
        <w:tc>
          <w:tcPr>
            <w:tcW w:w="3459" w:type="pct"/>
            <w:shd w:val="clear" w:color="auto" w:fill="auto"/>
            <w:vAlign w:val="center"/>
          </w:tcPr>
          <w:p w14:paraId="716F0F42">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在从事造价咨询服务过程中，项目配置的相应专业人员与合同中 “项目操作人员配置一览表”不符，且业务能力较差的扣4分；每一人不符合扣1分，最高扣4分。</w:t>
            </w:r>
          </w:p>
        </w:tc>
        <w:tc>
          <w:tcPr>
            <w:tcW w:w="497" w:type="pct"/>
            <w:shd w:val="clear" w:color="auto" w:fill="auto"/>
            <w:vAlign w:val="center"/>
          </w:tcPr>
          <w:p w14:paraId="4423513C">
            <w:pPr>
              <w:widowControl/>
              <w:spacing w:line="240" w:lineRule="exact"/>
              <w:jc w:val="center"/>
              <w:rPr>
                <w:rFonts w:ascii="Times New Roman" w:hAnsi="Times New Roman" w:eastAsia="仿宋_GB2312" w:cs="Times New Roman"/>
                <w:color w:val="auto"/>
                <w:sz w:val="20"/>
                <w:szCs w:val="20"/>
              </w:rPr>
            </w:pPr>
          </w:p>
        </w:tc>
      </w:tr>
      <w:tr w14:paraId="3FEC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62B8FFD5">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0C9F2B82">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2AD3B619">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3EE664D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未在规定时间内全面熟悉施工图纸，未对项目所采用的技术、工艺、设备等详细了解的最高扣3分；</w:t>
            </w:r>
          </w:p>
        </w:tc>
        <w:tc>
          <w:tcPr>
            <w:tcW w:w="497" w:type="pct"/>
            <w:shd w:val="clear" w:color="auto" w:fill="auto"/>
            <w:vAlign w:val="center"/>
          </w:tcPr>
          <w:p w14:paraId="43BD4BEA">
            <w:pPr>
              <w:widowControl/>
              <w:spacing w:line="240" w:lineRule="exact"/>
              <w:jc w:val="center"/>
              <w:rPr>
                <w:rFonts w:ascii="Times New Roman" w:hAnsi="Times New Roman" w:eastAsia="仿宋_GB2312" w:cs="Times New Roman"/>
                <w:color w:val="auto"/>
                <w:sz w:val="20"/>
                <w:szCs w:val="20"/>
              </w:rPr>
            </w:pPr>
          </w:p>
        </w:tc>
      </w:tr>
      <w:tr w14:paraId="015F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vMerge w:val="continue"/>
            <w:shd w:val="clear" w:color="auto" w:fill="auto"/>
            <w:vAlign w:val="center"/>
          </w:tcPr>
          <w:p w14:paraId="3DCFD717">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7D899274">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71D208CC">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5CBD99D5">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未能及时踏勘现场，踏勘现场未留取照片或录像且不清晰的最高扣3分；</w:t>
            </w:r>
          </w:p>
        </w:tc>
        <w:tc>
          <w:tcPr>
            <w:tcW w:w="497" w:type="pct"/>
            <w:shd w:val="clear" w:color="auto" w:fill="auto"/>
            <w:vAlign w:val="center"/>
          </w:tcPr>
          <w:p w14:paraId="772B10A8">
            <w:pPr>
              <w:widowControl/>
              <w:spacing w:line="240" w:lineRule="exact"/>
              <w:jc w:val="center"/>
              <w:rPr>
                <w:rFonts w:ascii="Times New Roman" w:hAnsi="Times New Roman" w:eastAsia="仿宋_GB2312" w:cs="Times New Roman"/>
                <w:color w:val="auto"/>
                <w:sz w:val="20"/>
                <w:szCs w:val="20"/>
              </w:rPr>
            </w:pPr>
          </w:p>
        </w:tc>
      </w:tr>
      <w:tr w14:paraId="5D70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3CB35EA5">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5056FA6F">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13E65D3E">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2E946408">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未能积极主动就图纸中的设计缺陷（图纸与现状不符、前后矛盾、影响工程量计算、影响清单编制、措施费用计取等有关问题）在踏勘完工程现场后两天内提出书面意见的最高扣5分；</w:t>
            </w:r>
          </w:p>
        </w:tc>
        <w:tc>
          <w:tcPr>
            <w:tcW w:w="497" w:type="pct"/>
            <w:shd w:val="clear" w:color="auto" w:fill="auto"/>
            <w:vAlign w:val="center"/>
          </w:tcPr>
          <w:p w14:paraId="5AD833BB">
            <w:pPr>
              <w:widowControl/>
              <w:spacing w:line="240" w:lineRule="exact"/>
              <w:jc w:val="center"/>
              <w:rPr>
                <w:rFonts w:ascii="Times New Roman" w:hAnsi="Times New Roman" w:eastAsia="仿宋_GB2312" w:cs="Times New Roman"/>
                <w:color w:val="auto"/>
                <w:sz w:val="20"/>
                <w:szCs w:val="20"/>
              </w:rPr>
            </w:pPr>
          </w:p>
        </w:tc>
      </w:tr>
      <w:tr w14:paraId="7DA6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21" w:type="pct"/>
            <w:vMerge w:val="continue"/>
            <w:shd w:val="clear" w:color="auto" w:fill="auto"/>
            <w:vAlign w:val="center"/>
          </w:tcPr>
          <w:p w14:paraId="56718D59">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0B41685D">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709E7AE0">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058CF48D">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未开展市场调查，了解价格信息，对于非常规项目未能作工料单价分析的扣最高扣3分。</w:t>
            </w:r>
          </w:p>
        </w:tc>
        <w:tc>
          <w:tcPr>
            <w:tcW w:w="497" w:type="pct"/>
            <w:shd w:val="clear" w:color="auto" w:fill="auto"/>
            <w:vAlign w:val="center"/>
          </w:tcPr>
          <w:p w14:paraId="299C4B62">
            <w:pPr>
              <w:widowControl/>
              <w:spacing w:line="240" w:lineRule="exact"/>
              <w:jc w:val="center"/>
              <w:rPr>
                <w:rFonts w:ascii="Times New Roman" w:hAnsi="Times New Roman" w:eastAsia="仿宋_GB2312" w:cs="Times New Roman"/>
                <w:color w:val="auto"/>
                <w:sz w:val="20"/>
                <w:szCs w:val="20"/>
              </w:rPr>
            </w:pPr>
          </w:p>
        </w:tc>
      </w:tr>
      <w:tr w14:paraId="22F9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1" w:type="pct"/>
            <w:vMerge w:val="restart"/>
            <w:shd w:val="clear" w:color="auto" w:fill="auto"/>
            <w:vAlign w:val="center"/>
          </w:tcPr>
          <w:p w14:paraId="183ABA96">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2</w:t>
            </w:r>
          </w:p>
        </w:tc>
        <w:tc>
          <w:tcPr>
            <w:tcW w:w="348" w:type="pct"/>
            <w:vMerge w:val="restart"/>
            <w:shd w:val="clear" w:color="auto" w:fill="auto"/>
            <w:vAlign w:val="center"/>
          </w:tcPr>
          <w:p w14:paraId="422616B2">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完成质量</w:t>
            </w:r>
          </w:p>
        </w:tc>
        <w:tc>
          <w:tcPr>
            <w:tcW w:w="317" w:type="pct"/>
            <w:vMerge w:val="restart"/>
            <w:shd w:val="clear" w:color="auto" w:fill="auto"/>
            <w:vAlign w:val="center"/>
          </w:tcPr>
          <w:p w14:paraId="0A6F1049">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50</w:t>
            </w:r>
          </w:p>
        </w:tc>
        <w:tc>
          <w:tcPr>
            <w:tcW w:w="3459" w:type="pct"/>
            <w:shd w:val="clear" w:color="auto" w:fill="auto"/>
            <w:vAlign w:val="center"/>
          </w:tcPr>
          <w:p w14:paraId="58BB855D">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未按规范计算工程量且计算错误的扣</w:t>
            </w:r>
            <w:r>
              <w:rPr>
                <w:rFonts w:hint="eastAsia" w:ascii="Times New Roman" w:hAnsi="Times New Roman" w:eastAsia="仿宋_GB2312" w:cs="Times New Roman"/>
                <w:color w:val="auto"/>
                <w:sz w:val="20"/>
                <w:szCs w:val="20"/>
                <w:lang w:val="en-US" w:eastAsia="zh-CN"/>
              </w:rPr>
              <w:t>2</w:t>
            </w:r>
            <w:r>
              <w:rPr>
                <w:rFonts w:ascii="Times New Roman" w:hAnsi="Times New Roman" w:eastAsia="仿宋_GB2312" w:cs="Times New Roman"/>
                <w:color w:val="auto"/>
                <w:sz w:val="20"/>
                <w:szCs w:val="20"/>
              </w:rPr>
              <w:t>分；未有工程量计算式的扣</w:t>
            </w:r>
            <w:r>
              <w:rPr>
                <w:rFonts w:hint="eastAsia" w:ascii="Times New Roman" w:hAnsi="Times New Roman" w:eastAsia="仿宋_GB2312" w:cs="Times New Roman"/>
                <w:color w:val="auto"/>
                <w:sz w:val="20"/>
                <w:szCs w:val="20"/>
                <w:lang w:val="en-US" w:eastAsia="zh-CN"/>
              </w:rPr>
              <w:t>2</w:t>
            </w:r>
            <w:r>
              <w:rPr>
                <w:rFonts w:ascii="Times New Roman" w:hAnsi="Times New Roman" w:eastAsia="仿宋_GB2312" w:cs="Times New Roman"/>
                <w:color w:val="auto"/>
                <w:sz w:val="20"/>
                <w:szCs w:val="20"/>
              </w:rPr>
              <w:t>分；未采用图形算量或CAD算量；未汇总成Excel表格且表格之间沟稽关系不正确等扣1～3分；</w:t>
            </w:r>
          </w:p>
        </w:tc>
        <w:tc>
          <w:tcPr>
            <w:tcW w:w="497" w:type="pct"/>
            <w:shd w:val="clear" w:color="auto" w:fill="auto"/>
            <w:vAlign w:val="center"/>
          </w:tcPr>
          <w:p w14:paraId="546FCCD0">
            <w:pPr>
              <w:widowControl/>
              <w:spacing w:line="240" w:lineRule="exact"/>
              <w:jc w:val="center"/>
              <w:rPr>
                <w:rFonts w:ascii="Times New Roman" w:hAnsi="Times New Roman" w:eastAsia="仿宋_GB2312" w:cs="Times New Roman"/>
                <w:color w:val="auto"/>
                <w:sz w:val="20"/>
                <w:szCs w:val="20"/>
              </w:rPr>
            </w:pPr>
          </w:p>
        </w:tc>
      </w:tr>
      <w:tr w14:paraId="1581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0704FB66">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4B43974A">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6D7AAA3D">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516100C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成果文件不符合计价规范，计价单位有误，套用定额有误（如定额工程量有误，擅自修改工料机含量等），项目特征描述内容不全面、不准确，与设计图纸不符等，导致委托人与项目承包单位发生争议，或造成委托人经济损失的最高扣</w:t>
            </w:r>
            <w:r>
              <w:rPr>
                <w:rFonts w:hint="eastAsia" w:ascii="Times New Roman" w:hAnsi="Times New Roman" w:eastAsia="仿宋_GB2312" w:cs="Times New Roman"/>
                <w:color w:val="auto"/>
                <w:sz w:val="20"/>
                <w:szCs w:val="20"/>
                <w:lang w:val="en-US" w:eastAsia="zh-CN"/>
              </w:rPr>
              <w:t>7</w:t>
            </w:r>
            <w:r>
              <w:rPr>
                <w:rFonts w:ascii="Times New Roman" w:hAnsi="Times New Roman" w:eastAsia="仿宋_GB2312" w:cs="Times New Roman"/>
                <w:color w:val="auto"/>
                <w:sz w:val="20"/>
                <w:szCs w:val="20"/>
              </w:rPr>
              <w:t>分；</w:t>
            </w:r>
          </w:p>
        </w:tc>
        <w:tc>
          <w:tcPr>
            <w:tcW w:w="497" w:type="pct"/>
            <w:shd w:val="clear" w:color="auto" w:fill="auto"/>
            <w:vAlign w:val="center"/>
          </w:tcPr>
          <w:p w14:paraId="54E592A8">
            <w:pPr>
              <w:widowControl/>
              <w:spacing w:line="240" w:lineRule="exact"/>
              <w:jc w:val="center"/>
              <w:rPr>
                <w:rFonts w:ascii="Times New Roman" w:hAnsi="Times New Roman" w:eastAsia="仿宋_GB2312" w:cs="Times New Roman"/>
                <w:color w:val="auto"/>
                <w:sz w:val="20"/>
                <w:szCs w:val="20"/>
              </w:rPr>
            </w:pPr>
          </w:p>
        </w:tc>
      </w:tr>
      <w:tr w14:paraId="0357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21" w:type="pct"/>
            <w:vMerge w:val="continue"/>
            <w:shd w:val="clear" w:color="auto" w:fill="auto"/>
            <w:vAlign w:val="center"/>
          </w:tcPr>
          <w:p w14:paraId="4EB3F673">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7E356582">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25C6279D">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4D670428">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图纸中有措施项目设计内容，漏计措施项目费，费用超10万元（含），扣3分；费用超50万元（含），扣5分；费用超100万元（含），扣</w:t>
            </w:r>
            <w:r>
              <w:rPr>
                <w:rFonts w:hint="eastAsia" w:ascii="Times New Roman" w:hAnsi="Times New Roman" w:eastAsia="仿宋_GB2312" w:cs="Times New Roman"/>
                <w:color w:val="auto"/>
                <w:sz w:val="20"/>
                <w:szCs w:val="20"/>
                <w:lang w:val="en-US" w:eastAsia="zh-CN"/>
              </w:rPr>
              <w:t>7</w:t>
            </w:r>
            <w:r>
              <w:rPr>
                <w:rFonts w:ascii="Times New Roman" w:hAnsi="Times New Roman" w:eastAsia="仿宋_GB2312" w:cs="Times New Roman"/>
                <w:color w:val="auto"/>
                <w:sz w:val="20"/>
                <w:szCs w:val="20"/>
              </w:rPr>
              <w:t>分；</w:t>
            </w:r>
          </w:p>
        </w:tc>
        <w:tc>
          <w:tcPr>
            <w:tcW w:w="497" w:type="pct"/>
            <w:shd w:val="clear" w:color="auto" w:fill="auto"/>
            <w:vAlign w:val="center"/>
          </w:tcPr>
          <w:p w14:paraId="08ECAAD9">
            <w:pPr>
              <w:widowControl/>
              <w:spacing w:line="240" w:lineRule="exact"/>
              <w:jc w:val="center"/>
              <w:rPr>
                <w:rFonts w:ascii="Times New Roman" w:hAnsi="Times New Roman" w:eastAsia="仿宋_GB2312" w:cs="Times New Roman"/>
                <w:color w:val="auto"/>
                <w:sz w:val="20"/>
                <w:szCs w:val="20"/>
              </w:rPr>
            </w:pPr>
          </w:p>
        </w:tc>
      </w:tr>
      <w:tr w14:paraId="3F0D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7CB8D224">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713F9E1C">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3EEACF53">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625FD642">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未根据工程位置、委托人的工期要求、常规的施工组织设计（施工方案）等考虑措施费用，措施费计算错误或漏计的，费用超10万元（含），扣3分；费用超50万元（含），扣5分；费用超100万元，扣</w:t>
            </w:r>
            <w:r>
              <w:rPr>
                <w:rFonts w:hint="eastAsia" w:ascii="Times New Roman" w:hAnsi="Times New Roman" w:eastAsia="仿宋_GB2312" w:cs="Times New Roman"/>
                <w:color w:val="auto"/>
                <w:sz w:val="20"/>
                <w:szCs w:val="20"/>
                <w:lang w:val="en-US" w:eastAsia="zh-CN"/>
              </w:rPr>
              <w:t>7</w:t>
            </w:r>
            <w:r>
              <w:rPr>
                <w:rFonts w:ascii="Times New Roman" w:hAnsi="Times New Roman" w:eastAsia="仿宋_GB2312" w:cs="Times New Roman"/>
                <w:color w:val="auto"/>
                <w:sz w:val="20"/>
                <w:szCs w:val="20"/>
              </w:rPr>
              <w:t>分；</w:t>
            </w:r>
          </w:p>
        </w:tc>
        <w:tc>
          <w:tcPr>
            <w:tcW w:w="497" w:type="pct"/>
            <w:shd w:val="clear" w:color="auto" w:fill="auto"/>
            <w:vAlign w:val="center"/>
          </w:tcPr>
          <w:p w14:paraId="5CB981EF">
            <w:pPr>
              <w:widowControl/>
              <w:spacing w:line="240" w:lineRule="exact"/>
              <w:jc w:val="center"/>
              <w:rPr>
                <w:rFonts w:ascii="Times New Roman" w:hAnsi="Times New Roman" w:eastAsia="仿宋_GB2312" w:cs="Times New Roman"/>
                <w:color w:val="auto"/>
                <w:sz w:val="20"/>
                <w:szCs w:val="20"/>
              </w:rPr>
            </w:pPr>
          </w:p>
        </w:tc>
      </w:tr>
      <w:tr w14:paraId="0068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2954D838">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22B14B71">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2969FACA">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6AA94D26">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成果文件编制说明不严谨、不详细、范围不完整，并因此导致施工过程产生合同纠纷每出现一次扣</w:t>
            </w:r>
            <w:r>
              <w:rPr>
                <w:rFonts w:hint="eastAsia" w:ascii="Times New Roman" w:hAnsi="Times New Roman" w:eastAsia="仿宋_GB2312" w:cs="Times New Roman"/>
                <w:color w:val="auto"/>
                <w:sz w:val="20"/>
                <w:szCs w:val="20"/>
                <w:lang w:val="en-US" w:eastAsia="zh-CN"/>
              </w:rPr>
              <w:t>4</w:t>
            </w:r>
            <w:r>
              <w:rPr>
                <w:rFonts w:ascii="Times New Roman" w:hAnsi="Times New Roman" w:eastAsia="仿宋_GB2312" w:cs="Times New Roman"/>
                <w:color w:val="auto"/>
                <w:sz w:val="20"/>
                <w:szCs w:val="20"/>
              </w:rPr>
              <w:t>分,最高扣</w:t>
            </w:r>
            <w:r>
              <w:rPr>
                <w:rFonts w:hint="eastAsia" w:ascii="Times New Roman" w:hAnsi="Times New Roman" w:eastAsia="仿宋_GB2312" w:cs="Times New Roman"/>
                <w:color w:val="auto"/>
                <w:sz w:val="20"/>
                <w:szCs w:val="20"/>
                <w:lang w:val="en-US" w:eastAsia="zh-CN"/>
              </w:rPr>
              <w:t>8</w:t>
            </w:r>
            <w:r>
              <w:rPr>
                <w:rFonts w:ascii="Times New Roman" w:hAnsi="Times New Roman" w:eastAsia="仿宋_GB2312" w:cs="Times New Roman"/>
                <w:color w:val="auto"/>
                <w:sz w:val="20"/>
                <w:szCs w:val="20"/>
              </w:rPr>
              <w:t>分；</w:t>
            </w:r>
          </w:p>
        </w:tc>
        <w:tc>
          <w:tcPr>
            <w:tcW w:w="497" w:type="pct"/>
            <w:shd w:val="clear" w:color="auto" w:fill="auto"/>
            <w:vAlign w:val="center"/>
          </w:tcPr>
          <w:p w14:paraId="2ABCEE43">
            <w:pPr>
              <w:widowControl/>
              <w:spacing w:line="240" w:lineRule="exact"/>
              <w:jc w:val="center"/>
              <w:rPr>
                <w:rFonts w:ascii="Times New Roman" w:hAnsi="Times New Roman" w:eastAsia="仿宋_GB2312" w:cs="Times New Roman"/>
                <w:color w:val="auto"/>
                <w:sz w:val="20"/>
                <w:szCs w:val="20"/>
              </w:rPr>
            </w:pPr>
          </w:p>
        </w:tc>
      </w:tr>
      <w:tr w14:paraId="35B6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3C3149FD">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69A4F495">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16B0EA07">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49D2ED68">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材料价需询价的，未询三家或三家以上(特殊材料除外)（须记录厂家、联系人、联系电话信息）最高扣3分；</w:t>
            </w:r>
          </w:p>
        </w:tc>
        <w:tc>
          <w:tcPr>
            <w:tcW w:w="497" w:type="pct"/>
            <w:shd w:val="clear" w:color="auto" w:fill="auto"/>
            <w:vAlign w:val="center"/>
          </w:tcPr>
          <w:p w14:paraId="4A7CDE1E">
            <w:pPr>
              <w:widowControl/>
              <w:spacing w:line="240" w:lineRule="exact"/>
              <w:jc w:val="center"/>
              <w:rPr>
                <w:rFonts w:ascii="Times New Roman" w:hAnsi="Times New Roman" w:eastAsia="仿宋_GB2312" w:cs="Times New Roman"/>
                <w:color w:val="auto"/>
                <w:sz w:val="20"/>
                <w:szCs w:val="20"/>
              </w:rPr>
            </w:pPr>
          </w:p>
        </w:tc>
      </w:tr>
      <w:tr w14:paraId="15E3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0E9E3F20">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17D48BA5">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5E56F175">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7687033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非《东莞市工程造价信息》中材料价，因不询价而导致单价错误的，每出现一次扣</w:t>
            </w:r>
            <w:r>
              <w:rPr>
                <w:rFonts w:hint="eastAsia" w:ascii="Times New Roman" w:hAnsi="Times New Roman" w:eastAsia="仿宋_GB2312" w:cs="Times New Roman"/>
                <w:color w:val="auto"/>
                <w:sz w:val="20"/>
                <w:szCs w:val="20"/>
                <w:lang w:val="en-US" w:eastAsia="zh-CN"/>
              </w:rPr>
              <w:t>2</w:t>
            </w:r>
            <w:r>
              <w:rPr>
                <w:rFonts w:ascii="Times New Roman" w:hAnsi="Times New Roman" w:eastAsia="仿宋_GB2312" w:cs="Times New Roman"/>
                <w:color w:val="auto"/>
                <w:sz w:val="20"/>
                <w:szCs w:val="20"/>
              </w:rPr>
              <w:t>分，最高扣</w:t>
            </w:r>
            <w:r>
              <w:rPr>
                <w:rFonts w:hint="eastAsia" w:ascii="Times New Roman" w:hAnsi="Times New Roman" w:eastAsia="仿宋_GB2312" w:cs="Times New Roman"/>
                <w:color w:val="auto"/>
                <w:sz w:val="20"/>
                <w:szCs w:val="20"/>
                <w:lang w:val="en-US" w:eastAsia="zh-CN"/>
              </w:rPr>
              <w:t>4</w:t>
            </w:r>
            <w:r>
              <w:rPr>
                <w:rFonts w:ascii="Times New Roman" w:hAnsi="Times New Roman" w:eastAsia="仿宋_GB2312" w:cs="Times New Roman"/>
                <w:color w:val="auto"/>
                <w:sz w:val="20"/>
                <w:szCs w:val="20"/>
              </w:rPr>
              <w:t>分；</w:t>
            </w:r>
          </w:p>
        </w:tc>
        <w:tc>
          <w:tcPr>
            <w:tcW w:w="497" w:type="pct"/>
            <w:shd w:val="clear" w:color="auto" w:fill="auto"/>
            <w:vAlign w:val="center"/>
          </w:tcPr>
          <w:p w14:paraId="27208746">
            <w:pPr>
              <w:widowControl/>
              <w:spacing w:line="240" w:lineRule="exact"/>
              <w:jc w:val="center"/>
              <w:rPr>
                <w:rFonts w:ascii="Times New Roman" w:hAnsi="Times New Roman" w:eastAsia="仿宋_GB2312" w:cs="Times New Roman"/>
                <w:color w:val="auto"/>
                <w:sz w:val="20"/>
                <w:szCs w:val="20"/>
              </w:rPr>
            </w:pPr>
          </w:p>
        </w:tc>
      </w:tr>
      <w:tr w14:paraId="10EC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21" w:type="pct"/>
            <w:vMerge w:val="continue"/>
            <w:shd w:val="clear" w:color="auto" w:fill="auto"/>
            <w:vAlign w:val="center"/>
          </w:tcPr>
          <w:p w14:paraId="2228B72F">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2D9950E5">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70FF819C">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139CB2BC">
            <w:pPr>
              <w:widowControl/>
              <w:spacing w:line="240" w:lineRule="exact"/>
              <w:rPr>
                <w:rFonts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未按委托人的要求在造价咨询服务过程中提交造价分析报告；所提交造价分析报告质量不达标；或最终造价成果文件不符合服务要求，最高扣7分；</w:t>
            </w:r>
          </w:p>
        </w:tc>
        <w:tc>
          <w:tcPr>
            <w:tcW w:w="497" w:type="pct"/>
            <w:shd w:val="clear" w:color="auto" w:fill="auto"/>
            <w:vAlign w:val="center"/>
          </w:tcPr>
          <w:p w14:paraId="29D4422F">
            <w:pPr>
              <w:widowControl/>
              <w:spacing w:line="240" w:lineRule="exact"/>
              <w:jc w:val="center"/>
              <w:rPr>
                <w:rFonts w:ascii="Times New Roman" w:hAnsi="Times New Roman" w:eastAsia="仿宋_GB2312" w:cs="Times New Roman"/>
                <w:color w:val="auto"/>
                <w:sz w:val="20"/>
                <w:szCs w:val="20"/>
              </w:rPr>
            </w:pPr>
          </w:p>
        </w:tc>
      </w:tr>
      <w:tr w14:paraId="2D02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 w:type="pct"/>
            <w:vMerge w:val="restart"/>
            <w:shd w:val="clear" w:color="auto" w:fill="auto"/>
            <w:vAlign w:val="center"/>
          </w:tcPr>
          <w:p w14:paraId="55BC0C62">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3</w:t>
            </w:r>
          </w:p>
        </w:tc>
        <w:tc>
          <w:tcPr>
            <w:tcW w:w="348" w:type="pct"/>
            <w:vMerge w:val="restart"/>
            <w:shd w:val="clear" w:color="auto" w:fill="auto"/>
            <w:vAlign w:val="center"/>
          </w:tcPr>
          <w:p w14:paraId="1A561600">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工作效率</w:t>
            </w:r>
          </w:p>
        </w:tc>
        <w:tc>
          <w:tcPr>
            <w:tcW w:w="317" w:type="pct"/>
            <w:vMerge w:val="restart"/>
            <w:shd w:val="clear" w:color="auto" w:fill="auto"/>
            <w:vAlign w:val="center"/>
          </w:tcPr>
          <w:p w14:paraId="7CC86271">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12</w:t>
            </w:r>
          </w:p>
        </w:tc>
        <w:tc>
          <w:tcPr>
            <w:tcW w:w="3459" w:type="pct"/>
            <w:shd w:val="clear" w:color="auto" w:fill="auto"/>
            <w:vAlign w:val="center"/>
          </w:tcPr>
          <w:p w14:paraId="194871FC">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未按操作规程及时进行对数、现场查勘的最高扣2分；</w:t>
            </w:r>
          </w:p>
        </w:tc>
        <w:tc>
          <w:tcPr>
            <w:tcW w:w="497" w:type="pct"/>
            <w:shd w:val="clear" w:color="auto" w:fill="auto"/>
            <w:vAlign w:val="center"/>
          </w:tcPr>
          <w:p w14:paraId="5F9BF946">
            <w:pPr>
              <w:widowControl/>
              <w:spacing w:line="240" w:lineRule="exact"/>
              <w:jc w:val="center"/>
              <w:rPr>
                <w:rFonts w:ascii="Times New Roman" w:hAnsi="Times New Roman" w:eastAsia="仿宋_GB2312" w:cs="Times New Roman"/>
                <w:color w:val="auto"/>
                <w:sz w:val="20"/>
                <w:szCs w:val="20"/>
              </w:rPr>
            </w:pPr>
          </w:p>
        </w:tc>
      </w:tr>
      <w:tr w14:paraId="2BB4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 w:type="pct"/>
            <w:vMerge w:val="continue"/>
            <w:shd w:val="clear" w:color="auto" w:fill="auto"/>
            <w:vAlign w:val="center"/>
          </w:tcPr>
          <w:p w14:paraId="1BA22E04">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5BEF73B1">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4B58D0DD">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79747F06">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对数后未做到及时修改，对反馈意见及时核实的最高扣2分；</w:t>
            </w:r>
          </w:p>
        </w:tc>
        <w:tc>
          <w:tcPr>
            <w:tcW w:w="497" w:type="pct"/>
            <w:shd w:val="clear" w:color="auto" w:fill="auto"/>
            <w:vAlign w:val="center"/>
          </w:tcPr>
          <w:p w14:paraId="3431E05B">
            <w:pPr>
              <w:widowControl/>
              <w:spacing w:line="240" w:lineRule="exact"/>
              <w:jc w:val="center"/>
              <w:rPr>
                <w:rFonts w:ascii="Times New Roman" w:hAnsi="Times New Roman" w:eastAsia="仿宋_GB2312" w:cs="Times New Roman"/>
                <w:color w:val="auto"/>
                <w:sz w:val="20"/>
                <w:szCs w:val="20"/>
              </w:rPr>
            </w:pPr>
          </w:p>
        </w:tc>
      </w:tr>
      <w:tr w14:paraId="4A7E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 w:type="pct"/>
            <w:vMerge w:val="continue"/>
            <w:shd w:val="clear" w:color="auto" w:fill="auto"/>
            <w:vAlign w:val="center"/>
          </w:tcPr>
          <w:p w14:paraId="11391202">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49D925E1">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26BBB3D7">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69840B2D">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对数后需要补充资料而未及时通知委托人补充相关资料，澄清有关疑问的最高扣4分；</w:t>
            </w:r>
          </w:p>
        </w:tc>
        <w:tc>
          <w:tcPr>
            <w:tcW w:w="497" w:type="pct"/>
            <w:shd w:val="clear" w:color="auto" w:fill="auto"/>
            <w:vAlign w:val="center"/>
          </w:tcPr>
          <w:p w14:paraId="5EBD8B5D">
            <w:pPr>
              <w:widowControl/>
              <w:spacing w:line="240" w:lineRule="exact"/>
              <w:jc w:val="center"/>
              <w:rPr>
                <w:rFonts w:ascii="Times New Roman" w:hAnsi="Times New Roman" w:eastAsia="仿宋_GB2312" w:cs="Times New Roman"/>
                <w:color w:val="auto"/>
                <w:sz w:val="20"/>
                <w:szCs w:val="20"/>
              </w:rPr>
            </w:pPr>
          </w:p>
        </w:tc>
      </w:tr>
      <w:tr w14:paraId="42F8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2" w:hRule="atLeast"/>
        </w:trPr>
        <w:tc>
          <w:tcPr>
            <w:tcW w:w="221" w:type="pct"/>
            <w:vMerge w:val="continue"/>
            <w:shd w:val="clear" w:color="auto" w:fill="auto"/>
            <w:vAlign w:val="center"/>
          </w:tcPr>
          <w:p w14:paraId="5863D805">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08AC6950">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691D28FE">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38DADB7C">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未能严格按委托人的计划时间完成咨询任务的最高扣4分。</w:t>
            </w:r>
          </w:p>
        </w:tc>
        <w:tc>
          <w:tcPr>
            <w:tcW w:w="497" w:type="pct"/>
            <w:shd w:val="clear" w:color="auto" w:fill="auto"/>
            <w:vAlign w:val="center"/>
          </w:tcPr>
          <w:p w14:paraId="6B9D34C5">
            <w:pPr>
              <w:widowControl/>
              <w:spacing w:line="240" w:lineRule="exact"/>
              <w:jc w:val="center"/>
              <w:rPr>
                <w:rFonts w:ascii="Times New Roman" w:hAnsi="Times New Roman" w:eastAsia="仿宋_GB2312" w:cs="Times New Roman"/>
                <w:color w:val="auto"/>
                <w:sz w:val="20"/>
                <w:szCs w:val="20"/>
              </w:rPr>
            </w:pPr>
          </w:p>
        </w:tc>
      </w:tr>
      <w:tr w14:paraId="3BBD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21" w:type="pct"/>
            <w:vMerge w:val="restart"/>
            <w:shd w:val="clear" w:color="auto" w:fill="auto"/>
            <w:vAlign w:val="center"/>
          </w:tcPr>
          <w:p w14:paraId="4D1349AD">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4</w:t>
            </w:r>
          </w:p>
        </w:tc>
        <w:tc>
          <w:tcPr>
            <w:tcW w:w="348" w:type="pct"/>
            <w:vMerge w:val="restart"/>
            <w:shd w:val="clear" w:color="auto" w:fill="auto"/>
            <w:vAlign w:val="center"/>
          </w:tcPr>
          <w:p w14:paraId="0713EC90">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规范服务</w:t>
            </w:r>
          </w:p>
        </w:tc>
        <w:tc>
          <w:tcPr>
            <w:tcW w:w="317" w:type="pct"/>
            <w:vMerge w:val="restart"/>
            <w:shd w:val="clear" w:color="auto" w:fill="auto"/>
            <w:vAlign w:val="center"/>
          </w:tcPr>
          <w:p w14:paraId="3569BA52">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13</w:t>
            </w:r>
          </w:p>
        </w:tc>
        <w:tc>
          <w:tcPr>
            <w:tcW w:w="3459" w:type="pct"/>
            <w:shd w:val="clear" w:color="auto" w:fill="auto"/>
            <w:vAlign w:val="center"/>
          </w:tcPr>
          <w:p w14:paraId="4673926B">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未严格按有关行业规范、工作规程和水务集团管理要求开展咨询活动的最高扣4分；</w:t>
            </w:r>
          </w:p>
        </w:tc>
        <w:tc>
          <w:tcPr>
            <w:tcW w:w="497" w:type="pct"/>
            <w:shd w:val="clear" w:color="auto" w:fill="auto"/>
            <w:vAlign w:val="center"/>
          </w:tcPr>
          <w:p w14:paraId="6815F8EC">
            <w:pPr>
              <w:widowControl/>
              <w:spacing w:line="240" w:lineRule="exact"/>
              <w:jc w:val="center"/>
              <w:rPr>
                <w:rFonts w:ascii="Times New Roman" w:hAnsi="Times New Roman" w:eastAsia="仿宋_GB2312" w:cs="Times New Roman"/>
                <w:color w:val="auto"/>
                <w:sz w:val="20"/>
                <w:szCs w:val="20"/>
              </w:rPr>
            </w:pPr>
          </w:p>
        </w:tc>
      </w:tr>
      <w:tr w14:paraId="7FBD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 w:type="pct"/>
            <w:vMerge w:val="continue"/>
            <w:shd w:val="clear" w:color="auto" w:fill="auto"/>
            <w:vAlign w:val="center"/>
          </w:tcPr>
          <w:p w14:paraId="6E2BE599">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5367870E">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5AF9BCE1">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64C15534">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未认真执行对数操作规程、现场查勘操作规程的最高扣4分；</w:t>
            </w:r>
          </w:p>
        </w:tc>
        <w:tc>
          <w:tcPr>
            <w:tcW w:w="497" w:type="pct"/>
            <w:shd w:val="clear" w:color="auto" w:fill="auto"/>
            <w:vAlign w:val="center"/>
          </w:tcPr>
          <w:p w14:paraId="4EE3CC9B">
            <w:pPr>
              <w:widowControl/>
              <w:spacing w:line="240" w:lineRule="exact"/>
              <w:jc w:val="center"/>
              <w:rPr>
                <w:rFonts w:ascii="Times New Roman" w:hAnsi="Times New Roman" w:eastAsia="仿宋_GB2312" w:cs="Times New Roman"/>
                <w:color w:val="auto"/>
                <w:sz w:val="20"/>
                <w:szCs w:val="20"/>
              </w:rPr>
            </w:pPr>
          </w:p>
        </w:tc>
      </w:tr>
      <w:tr w14:paraId="583D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1" w:type="pct"/>
            <w:vMerge w:val="continue"/>
            <w:shd w:val="clear" w:color="auto" w:fill="auto"/>
            <w:vAlign w:val="center"/>
          </w:tcPr>
          <w:p w14:paraId="1035E361">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66DB92AD">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4776EEC0">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2EABAD72">
            <w:pPr>
              <w:widowControl/>
              <w:spacing w:line="240" w:lineRule="exact"/>
              <w:rPr>
                <w:rFonts w:ascii="Times New Roman" w:hAnsi="Times New Roman" w:eastAsia="仿宋_GB2312" w:cs="Times New Roman"/>
                <w:color w:val="auto"/>
                <w:sz w:val="20"/>
              </w:rPr>
            </w:pPr>
            <w:r>
              <w:rPr>
                <w:rFonts w:ascii="Times New Roman" w:hAnsi="Times New Roman" w:eastAsia="仿宋_GB2312" w:cs="Times New Roman"/>
                <w:color w:val="auto"/>
                <w:sz w:val="20"/>
              </w:rPr>
              <w:t>对非常规的设备、材料的价格选定，以及非常规的工艺、技术的定额计价，未能跟委托人协商确定的最高扣2分；</w:t>
            </w:r>
          </w:p>
        </w:tc>
        <w:tc>
          <w:tcPr>
            <w:tcW w:w="497" w:type="pct"/>
            <w:shd w:val="clear" w:color="auto" w:fill="auto"/>
            <w:vAlign w:val="center"/>
          </w:tcPr>
          <w:p w14:paraId="173A7579">
            <w:pPr>
              <w:widowControl/>
              <w:spacing w:line="240" w:lineRule="exact"/>
              <w:jc w:val="center"/>
              <w:rPr>
                <w:rFonts w:ascii="Times New Roman" w:hAnsi="Times New Roman" w:eastAsia="仿宋_GB2312" w:cs="Times New Roman"/>
                <w:color w:val="auto"/>
                <w:sz w:val="20"/>
                <w:szCs w:val="20"/>
              </w:rPr>
            </w:pPr>
          </w:p>
        </w:tc>
      </w:tr>
      <w:tr w14:paraId="79B2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2" w:hRule="atLeast"/>
        </w:trPr>
        <w:tc>
          <w:tcPr>
            <w:tcW w:w="221" w:type="pct"/>
            <w:vMerge w:val="continue"/>
            <w:shd w:val="clear" w:color="auto" w:fill="auto"/>
            <w:vAlign w:val="center"/>
          </w:tcPr>
          <w:p w14:paraId="0F113AAE">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6E29DB20">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65B5E115">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63CDBC26">
            <w:pPr>
              <w:widowControl/>
              <w:spacing w:line="240" w:lineRule="exact"/>
              <w:rPr>
                <w:rFonts w:ascii="Times New Roman" w:hAnsi="Times New Roman" w:eastAsia="仿宋_GB2312" w:cs="Times New Roman"/>
                <w:color w:val="auto"/>
                <w:sz w:val="20"/>
              </w:rPr>
            </w:pPr>
            <w:r>
              <w:rPr>
                <w:rFonts w:ascii="Times New Roman" w:hAnsi="Times New Roman" w:eastAsia="仿宋_GB2312" w:cs="Times New Roman"/>
                <w:color w:val="auto"/>
                <w:sz w:val="20"/>
              </w:rPr>
              <w:t>未能实行二或三级复核制度的最高扣3分。</w:t>
            </w:r>
          </w:p>
        </w:tc>
        <w:tc>
          <w:tcPr>
            <w:tcW w:w="497" w:type="pct"/>
            <w:shd w:val="clear" w:color="auto" w:fill="auto"/>
            <w:vAlign w:val="center"/>
          </w:tcPr>
          <w:p w14:paraId="14460E32">
            <w:pPr>
              <w:widowControl/>
              <w:spacing w:line="240" w:lineRule="exact"/>
              <w:jc w:val="center"/>
              <w:rPr>
                <w:rFonts w:ascii="Times New Roman" w:hAnsi="Times New Roman" w:eastAsia="仿宋_GB2312" w:cs="Times New Roman"/>
                <w:color w:val="auto"/>
                <w:sz w:val="20"/>
                <w:szCs w:val="20"/>
              </w:rPr>
            </w:pPr>
          </w:p>
        </w:tc>
      </w:tr>
      <w:tr w14:paraId="578E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 w:type="pct"/>
            <w:vMerge w:val="restart"/>
            <w:shd w:val="clear" w:color="auto" w:fill="auto"/>
            <w:vAlign w:val="center"/>
          </w:tcPr>
          <w:p w14:paraId="79FE22F2">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5</w:t>
            </w:r>
          </w:p>
        </w:tc>
        <w:tc>
          <w:tcPr>
            <w:tcW w:w="348" w:type="pct"/>
            <w:vMerge w:val="restart"/>
            <w:shd w:val="clear" w:color="auto" w:fill="auto"/>
            <w:vAlign w:val="center"/>
          </w:tcPr>
          <w:p w14:paraId="59FA9F78">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职业道德评价</w:t>
            </w:r>
          </w:p>
        </w:tc>
        <w:tc>
          <w:tcPr>
            <w:tcW w:w="317" w:type="pct"/>
            <w:vMerge w:val="restart"/>
            <w:shd w:val="clear" w:color="auto" w:fill="auto"/>
            <w:vAlign w:val="center"/>
          </w:tcPr>
          <w:p w14:paraId="4AB5BCDB">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7</w:t>
            </w:r>
          </w:p>
        </w:tc>
        <w:tc>
          <w:tcPr>
            <w:tcW w:w="3459" w:type="pct"/>
            <w:shd w:val="clear" w:color="auto" w:fill="auto"/>
            <w:vAlign w:val="center"/>
          </w:tcPr>
          <w:p w14:paraId="2F69CD07">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未独立完成咨询任务，擅自委托第三方从事咨询活动的扣4分；</w:t>
            </w:r>
          </w:p>
        </w:tc>
        <w:tc>
          <w:tcPr>
            <w:tcW w:w="497" w:type="pct"/>
            <w:shd w:val="clear" w:color="auto" w:fill="auto"/>
            <w:vAlign w:val="center"/>
          </w:tcPr>
          <w:p w14:paraId="4F6824AC">
            <w:pPr>
              <w:widowControl/>
              <w:spacing w:line="240" w:lineRule="exact"/>
              <w:jc w:val="center"/>
              <w:rPr>
                <w:rFonts w:ascii="Times New Roman" w:hAnsi="Times New Roman" w:eastAsia="仿宋_GB2312" w:cs="Times New Roman"/>
                <w:color w:val="auto"/>
                <w:sz w:val="20"/>
                <w:szCs w:val="20"/>
              </w:rPr>
            </w:pPr>
          </w:p>
        </w:tc>
      </w:tr>
      <w:tr w14:paraId="0579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21" w:type="pct"/>
            <w:vMerge w:val="continue"/>
            <w:shd w:val="clear" w:color="auto" w:fill="auto"/>
            <w:vAlign w:val="center"/>
          </w:tcPr>
          <w:p w14:paraId="34B0F87D">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5524BF8C">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27214CAA">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50A7C286">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擅自与委托人的利益相对人联系工作事宜的扣3分。</w:t>
            </w:r>
          </w:p>
        </w:tc>
        <w:tc>
          <w:tcPr>
            <w:tcW w:w="497" w:type="pct"/>
            <w:shd w:val="clear" w:color="auto" w:fill="auto"/>
            <w:vAlign w:val="center"/>
          </w:tcPr>
          <w:p w14:paraId="2EEBD322">
            <w:pPr>
              <w:widowControl/>
              <w:spacing w:line="240" w:lineRule="exact"/>
              <w:jc w:val="center"/>
              <w:rPr>
                <w:rFonts w:ascii="Times New Roman" w:hAnsi="Times New Roman" w:eastAsia="仿宋_GB2312" w:cs="Times New Roman"/>
                <w:color w:val="auto"/>
                <w:sz w:val="20"/>
                <w:szCs w:val="20"/>
              </w:rPr>
            </w:pPr>
          </w:p>
        </w:tc>
      </w:tr>
      <w:tr w14:paraId="318B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570" w:type="pct"/>
            <w:gridSpan w:val="2"/>
            <w:shd w:val="clear" w:color="auto" w:fill="auto"/>
            <w:vAlign w:val="center"/>
          </w:tcPr>
          <w:p w14:paraId="6CA92510">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合计</w:t>
            </w:r>
          </w:p>
        </w:tc>
        <w:tc>
          <w:tcPr>
            <w:tcW w:w="317" w:type="pct"/>
            <w:shd w:val="clear" w:color="auto" w:fill="auto"/>
            <w:vAlign w:val="center"/>
          </w:tcPr>
          <w:p w14:paraId="59286C55">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4E12251C">
            <w:pPr>
              <w:widowControl/>
              <w:spacing w:line="240" w:lineRule="exact"/>
              <w:rPr>
                <w:rFonts w:ascii="Times New Roman" w:hAnsi="Times New Roman" w:eastAsia="仿宋_GB2312" w:cs="Times New Roman"/>
                <w:color w:val="auto"/>
                <w:sz w:val="20"/>
                <w:szCs w:val="20"/>
              </w:rPr>
            </w:pPr>
          </w:p>
        </w:tc>
        <w:tc>
          <w:tcPr>
            <w:tcW w:w="497" w:type="pct"/>
            <w:shd w:val="clear" w:color="auto" w:fill="auto"/>
            <w:vAlign w:val="center"/>
          </w:tcPr>
          <w:p w14:paraId="46B2C6D9">
            <w:pPr>
              <w:widowControl/>
              <w:spacing w:line="240" w:lineRule="exact"/>
              <w:jc w:val="center"/>
              <w:rPr>
                <w:rFonts w:ascii="Times New Roman" w:hAnsi="Times New Roman" w:eastAsia="仿宋_GB2312" w:cs="Times New Roman"/>
                <w:color w:val="auto"/>
                <w:sz w:val="20"/>
                <w:szCs w:val="20"/>
              </w:rPr>
            </w:pPr>
          </w:p>
        </w:tc>
      </w:tr>
    </w:tbl>
    <w:p w14:paraId="71CF0F3A">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r>
        <w:rPr>
          <w:rFonts w:hint="eastAsia" w:eastAsia="方正小标宋简体" w:cs="Times New Roman"/>
          <w:b w:val="0"/>
          <w:bCs/>
          <w:color w:val="auto"/>
          <w:sz w:val="22"/>
          <w:szCs w:val="22"/>
          <w:highlight w:val="none"/>
          <w:lang w:val="en-US" w:eastAsia="zh-CN"/>
        </w:rPr>
        <w:t>考核单位（签字）：                                        被考核单位（签章）</w:t>
      </w:r>
    </w:p>
    <w:p w14:paraId="7188E582">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sectPr>
          <w:pgSz w:w="11906" w:h="16838"/>
          <w:pgMar w:top="1440" w:right="866" w:bottom="1440" w:left="960" w:header="851" w:footer="992" w:gutter="0"/>
          <w:cols w:space="0" w:num="1"/>
          <w:titlePg/>
          <w:rtlGutter w:val="0"/>
          <w:docGrid w:type="lines" w:linePitch="312" w:charSpace="0"/>
        </w:sectPr>
      </w:pPr>
    </w:p>
    <w:p w14:paraId="4053CF5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26" w:name="_Toc27424"/>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09"/>
      <w:bookmarkEnd w:id="410"/>
      <w:bookmarkEnd w:id="411"/>
      <w:bookmarkEnd w:id="412"/>
      <w:bookmarkEnd w:id="413"/>
      <w:bookmarkEnd w:id="414"/>
      <w:bookmarkEnd w:id="415"/>
      <w:bookmarkEnd w:id="426"/>
    </w:p>
    <w:p w14:paraId="4DED1DB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85EFA0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419163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DCFCD41">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东莞市水务集团净水有限公司2025年造价咨询服务采购项目</w:t>
      </w:r>
    </w:p>
    <w:p w14:paraId="3714B91E">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69ED2C3D">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888A461">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397F208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E3707F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4C44F4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E195CF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6551BE0">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7518E4A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2F955557">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4F38361D">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6ADB14CE">
      <w:pPr>
        <w:keepNext w:val="0"/>
        <w:keepLines w:val="0"/>
        <w:widowControl/>
        <w:suppressLineNumbers w:val="0"/>
        <w:kinsoku/>
        <w:wordWrap/>
        <w:overflowPunct/>
        <w:topLinePunct w:val="0"/>
        <w:autoSpaceDN/>
        <w:bidi w:val="0"/>
        <w:adjustRightInd/>
        <w:snapToGrid/>
        <w:spacing w:beforeAutospacing="0" w:afterAutospacing="0" w:line="240" w:lineRule="auto"/>
        <w:ind w:left="0" w:leftChars="0" w:right="0" w:firstLine="0" w:firstLineChars="0"/>
        <w:jc w:val="left"/>
        <w:textAlignment w:val="auto"/>
        <w:outlineLvl w:val="9"/>
        <w:rPr>
          <w:rFonts w:hint="eastAsia" w:ascii="宋体" w:hAnsi="宋体" w:eastAsia="宋体" w:cs="宋体"/>
          <w:b/>
          <w:bCs w:val="0"/>
          <w:color w:val="auto"/>
          <w:kern w:val="2"/>
          <w:sz w:val="21"/>
          <w:szCs w:val="21"/>
          <w:highlight w:val="none"/>
          <w:shd w:val="clear" w:fill="FFFFFF"/>
          <w:lang w:val="en-US" w:eastAsia="zh-CN" w:bidi="ar"/>
        </w:rPr>
      </w:pPr>
      <w:r>
        <w:rPr>
          <w:rFonts w:hint="eastAsia" w:ascii="宋体" w:hAnsi="宋体" w:eastAsia="宋体" w:cs="宋体"/>
          <w:b/>
          <w:bCs w:val="0"/>
          <w:color w:val="auto"/>
          <w:kern w:val="2"/>
          <w:sz w:val="21"/>
          <w:szCs w:val="21"/>
          <w:highlight w:val="none"/>
          <w:shd w:val="clear" w:fill="FFFFFF"/>
          <w:lang w:val="en-US" w:eastAsia="zh-CN" w:bidi="ar"/>
        </w:rPr>
        <w:br w:type="page"/>
      </w:r>
    </w:p>
    <w:p w14:paraId="32514409">
      <w:pPr>
        <w:keepNext w:val="0"/>
        <w:keepLines w:val="0"/>
        <w:widowControl w:val="0"/>
        <w:suppressLineNumbers w:val="0"/>
        <w:kinsoku/>
        <w:wordWrap/>
        <w:overflowPunct/>
        <w:topLinePunct w:val="0"/>
        <w:autoSpaceDN/>
        <w:bidi w:val="0"/>
        <w:adjustRightInd/>
        <w:snapToGrid/>
        <w:spacing w:beforeAutospacing="0" w:afterAutospacing="0" w:line="360" w:lineRule="auto"/>
        <w:ind w:left="0" w:leftChars="0" w:right="0" w:firstLine="0" w:firstLineChars="0"/>
        <w:jc w:val="both"/>
        <w:textAlignment w:val="auto"/>
        <w:outlineLvl w:val="9"/>
        <w:rPr>
          <w:color w:val="auto"/>
        </w:rPr>
      </w:pPr>
      <w:r>
        <w:rPr>
          <w:rFonts w:hint="eastAsia" w:ascii="宋体" w:hAnsi="宋体" w:eastAsia="宋体" w:cs="宋体"/>
          <w:b/>
          <w:bCs w:val="0"/>
          <w:color w:val="auto"/>
          <w:kern w:val="2"/>
          <w:sz w:val="21"/>
          <w:szCs w:val="21"/>
          <w:highlight w:val="none"/>
          <w:shd w:val="clear" w:fill="FFFFFF"/>
          <w:lang w:val="en-US" w:eastAsia="zh-CN" w:bidi="ar"/>
        </w:rPr>
        <w:t>甲方</w:t>
      </w:r>
      <w:r>
        <w:rPr>
          <w:rFonts w:hint="eastAsia" w:ascii="宋体" w:hAnsi="宋体" w:eastAsia="宋体" w:cs="宋体"/>
          <w:bCs/>
          <w:color w:val="auto"/>
          <w:kern w:val="2"/>
          <w:sz w:val="21"/>
          <w:szCs w:val="21"/>
          <w:highlight w:val="none"/>
          <w:shd w:val="clear" w:fill="FFFFFF"/>
          <w:lang w:val="en-US" w:eastAsia="zh-CN" w:bidi="ar"/>
        </w:rPr>
        <w:t>：</w:t>
      </w:r>
      <w:r>
        <w:rPr>
          <w:rFonts w:hint="eastAsia" w:ascii="宋体" w:hAnsi="宋体" w:eastAsia="宋体" w:cs="宋体"/>
          <w:bCs/>
          <w:color w:val="auto"/>
          <w:kern w:val="2"/>
          <w:sz w:val="21"/>
          <w:szCs w:val="21"/>
          <w:highlight w:val="none"/>
          <w:u w:val="single"/>
          <w:shd w:val="clear" w:fill="FFFFFF"/>
          <w:lang w:val="en-US" w:eastAsia="zh-CN" w:bidi="ar"/>
        </w:rPr>
        <w:t xml:space="preserve">                           </w:t>
      </w:r>
    </w:p>
    <w:p w14:paraId="4AC4322F">
      <w:pPr>
        <w:keepNext w:val="0"/>
        <w:keepLines w:val="0"/>
        <w:widowControl w:val="0"/>
        <w:suppressLineNumbers w:val="0"/>
        <w:kinsoku/>
        <w:wordWrap/>
        <w:overflowPunct/>
        <w:topLinePunct w:val="0"/>
        <w:autoSpaceDN/>
        <w:bidi w:val="0"/>
        <w:adjustRightInd/>
        <w:snapToGrid/>
        <w:spacing w:beforeAutospacing="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1"/>
          <w:szCs w:val="21"/>
          <w:highlight w:val="none"/>
          <w:shd w:val="clear" w:fill="FFFFFF"/>
        </w:rPr>
      </w:pPr>
      <w:r>
        <w:rPr>
          <w:rFonts w:hint="eastAsia" w:ascii="宋体" w:hAnsi="宋体" w:eastAsia="宋体" w:cs="宋体"/>
          <w:b/>
          <w:bCs/>
          <w:color w:val="auto"/>
          <w:kern w:val="2"/>
          <w:sz w:val="21"/>
          <w:szCs w:val="21"/>
          <w:highlight w:val="none"/>
          <w:shd w:val="clear" w:fill="FFFFFF"/>
          <w:lang w:val="en-US" w:eastAsia="zh-CN" w:bidi="ar"/>
        </w:rPr>
        <w:t>乙方：</w:t>
      </w:r>
      <w:r>
        <w:rPr>
          <w:rFonts w:hint="eastAsia" w:ascii="宋体" w:hAnsi="宋体" w:eastAsia="宋体" w:cs="宋体"/>
          <w:bCs/>
          <w:color w:val="auto"/>
          <w:kern w:val="2"/>
          <w:sz w:val="21"/>
          <w:szCs w:val="21"/>
          <w:highlight w:val="none"/>
          <w:u w:val="single"/>
          <w:shd w:val="clear" w:fill="FFFFFF"/>
          <w:lang w:val="en-US" w:eastAsia="zh-CN" w:bidi="ar"/>
        </w:rPr>
        <w:t xml:space="preserve">                           </w:t>
      </w:r>
    </w:p>
    <w:p w14:paraId="7AE1AD78">
      <w:pPr>
        <w:keepNext w:val="0"/>
        <w:keepLines w:val="0"/>
        <w:widowControl w:val="0"/>
        <w:suppressLineNumbers w:val="0"/>
        <w:kinsoku/>
        <w:wordWrap/>
        <w:overflowPunct/>
        <w:topLinePunct w:val="0"/>
        <w:autoSpaceDN/>
        <w:bidi w:val="0"/>
        <w:adjustRightInd/>
        <w:snapToGrid/>
        <w:spacing w:beforeAutospacing="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
        </w:rPr>
      </w:pPr>
    </w:p>
    <w:p w14:paraId="3510862B">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bookmarkStart w:id="427" w:name="_Toc447044603"/>
      <w:bookmarkStart w:id="428" w:name="_Toc142508360"/>
      <w:bookmarkStart w:id="429" w:name="_Toc24427_WPSOffice_Level1"/>
      <w:bookmarkStart w:id="430" w:name="_Toc13867"/>
      <w:bookmarkStart w:id="431" w:name="_Toc30025"/>
      <w:bookmarkStart w:id="432" w:name="_Toc447044479"/>
      <w:bookmarkStart w:id="433" w:name="_Toc512353083"/>
      <w:bookmarkStart w:id="434" w:name="_Toc25564"/>
      <w:bookmarkStart w:id="435" w:name="_Toc447045090"/>
      <w:r>
        <w:rPr>
          <w:rFonts w:hint="eastAsia" w:ascii="宋体" w:hAnsi="宋体" w:eastAsia="宋体" w:cs="宋体"/>
          <w:color w:val="auto"/>
          <w:kern w:val="2"/>
          <w:sz w:val="21"/>
          <w:szCs w:val="21"/>
          <w:highlight w:val="none"/>
          <w:lang w:val="en-US" w:eastAsia="zh-CN" w:bidi="ar"/>
        </w:rPr>
        <w:t>根据《中华人民共和国民法典》及</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日通知的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项目中标结果（招标编号：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）和招标文件的要求，经双方协商一致，签订本合同。</w:t>
      </w:r>
    </w:p>
    <w:p w14:paraId="472EC5C3">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第一条 服务内容</w:t>
      </w:r>
    </w:p>
    <w:p w14:paraId="7D2EC83E">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负责为甲方提供造价咨询服务，根据国家、省、市有关工程造价相关法律法规，科学、客观、公正开展造价咨询服务工作；按甲方要求按时按质提供成果资料，并对其真实性、准确性、完整性、合法性、合理性负责。服务内容包括但不限于以下内容：</w:t>
      </w:r>
    </w:p>
    <w:p w14:paraId="13CF7A88">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（1）根据甲方要求和提供的资料完成估算、概算编制或审核，施工图预算编制或审核，招标控制价编制，变更预算编制或审核，工程结算编制或审核，施工阶段全过程造价控制，以及非工程类的货物采购、服务</w:t>
      </w:r>
      <w:r>
        <w:rPr>
          <w:rFonts w:hint="default" w:ascii="宋体" w:hAnsi="宋体" w:eastAsia="宋体" w:cs="宋体"/>
          <w:color w:val="auto"/>
          <w:kern w:val="2"/>
          <w:sz w:val="21"/>
          <w:szCs w:val="21"/>
          <w:highlight w:val="none"/>
          <w:lang w:val="en-US" w:eastAsia="zh-CN" w:bidi="ar"/>
        </w:rPr>
        <w:t>类</w:t>
      </w:r>
      <w:r>
        <w:rPr>
          <w:rFonts w:hint="eastAsia" w:ascii="宋体" w:hAnsi="宋体" w:eastAsia="宋体" w:cs="宋体"/>
          <w:color w:val="auto"/>
          <w:kern w:val="2"/>
          <w:sz w:val="21"/>
          <w:szCs w:val="21"/>
          <w:highlight w:val="none"/>
          <w:lang w:val="en-US" w:eastAsia="zh-CN" w:bidi="ar"/>
        </w:rPr>
        <w:t>项目的预算（招标控制价）编审、合同结算等造价咨询业务，并出具成果文件；</w:t>
      </w:r>
    </w:p>
    <w:p w14:paraId="1F7AE849">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contextualSpacing/>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（2）积极配合甲方开展造价咨询服务工作，包括对数，修改、出具成果文件，扫描成果文件，必要时需派驻人员至甲方所在的办公地点（东莞市范围内）配合甲方开展造价咨询相关工作。</w:t>
      </w:r>
    </w:p>
    <w:p w14:paraId="35D4391A">
      <w:pPr>
        <w:autoSpaceDN/>
        <w:adjustRightInd/>
        <w:spacing w:line="360" w:lineRule="auto"/>
        <w:ind w:firstLine="420" w:firstLineChars="200"/>
        <w:contextualSpacing/>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Cs w:val="21"/>
          <w:highlight w:val="none"/>
          <w:lang w:bidi="ar"/>
        </w:rPr>
        <w:t>乙方应满足</w:t>
      </w:r>
      <w:r>
        <w:rPr>
          <w:rFonts w:hint="eastAsia" w:ascii="宋体" w:hAnsi="宋体" w:eastAsia="宋体" w:cs="宋体"/>
          <w:color w:val="auto"/>
          <w:szCs w:val="21"/>
          <w:highlight w:val="none"/>
          <w:lang w:val="en-US" w:eastAsia="zh-CN" w:bidi="ar"/>
        </w:rPr>
        <w:t>甲方</w:t>
      </w:r>
      <w:r>
        <w:rPr>
          <w:rFonts w:hint="eastAsia" w:ascii="宋体" w:hAnsi="宋体" w:eastAsia="宋体" w:cs="宋体"/>
          <w:color w:val="auto"/>
          <w:szCs w:val="21"/>
          <w:highlight w:val="none"/>
          <w:lang w:bidi="ar"/>
        </w:rPr>
        <w:t>委托要求，在造价咨询服务过程中对造价成果进行合理性分析，并提出优化造价的具体建议，最终形成分析报告与造价成果文件一并提交。</w:t>
      </w:r>
    </w:p>
    <w:p w14:paraId="0BB7995F">
      <w:pPr>
        <w:autoSpaceDN/>
        <w:adjustRightInd/>
        <w:spacing w:line="360" w:lineRule="auto"/>
        <w:ind w:firstLine="420" w:firstLineChars="200"/>
        <w:contextualSpacing/>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（4）对工作内容保密。</w:t>
      </w:r>
    </w:p>
    <w:p w14:paraId="55AD0699">
      <w:pPr>
        <w:autoSpaceDN/>
        <w:adjustRightInd/>
        <w:spacing w:line="360" w:lineRule="auto"/>
        <w:ind w:firstLine="420" w:firstLineChars="200"/>
        <w:contextualSpacing/>
        <w:jc w:val="both"/>
        <w:rPr>
          <w:rFonts w:hint="eastAsia" w:ascii="宋体" w:hAnsi="宋体" w:eastAsia="宋体" w:cs="宋体"/>
          <w:color w:val="auto"/>
          <w:szCs w:val="21"/>
          <w:highlight w:val="none"/>
          <w:lang w:val="en-US" w:bidi="ar"/>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snapToGrid w:val="0"/>
          <w:color w:val="auto"/>
          <w:spacing w:val="0"/>
          <w:kern w:val="0"/>
          <w:sz w:val="21"/>
          <w:szCs w:val="21"/>
          <w:highlight w:val="none"/>
          <w:lang w:val="en-US" w:eastAsia="zh-CN" w:bidi="ar-SA"/>
        </w:rPr>
        <w:t>合同履约过程中，根据甲方的委托单开展单项造价咨询服务。</w:t>
      </w:r>
      <w:r>
        <w:rPr>
          <w:rFonts w:hint="eastAsia" w:ascii="宋体" w:hAnsi="宋体" w:eastAsia="宋体" w:cs="宋体"/>
          <w:color w:val="auto"/>
          <w:kern w:val="2"/>
          <w:sz w:val="21"/>
          <w:szCs w:val="21"/>
          <w:highlight w:val="none"/>
          <w:lang w:val="en-US" w:eastAsia="zh-CN" w:bidi="ar"/>
        </w:rPr>
        <w:t>开展造价咨询服务的委托单由甲方出具，表单内容、格式等要求由甲方决定。</w:t>
      </w:r>
    </w:p>
    <w:p w14:paraId="40E516B4">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2" w:firstLineChars="200"/>
        <w:contextualSpacing/>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第二条 服务期限</w:t>
      </w:r>
    </w:p>
    <w:p w14:paraId="55A485EB">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contextualSpacing/>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本项目服务期自合同签订日起至2025年12月31日</w:t>
      </w:r>
      <w:r>
        <w:rPr>
          <w:rFonts w:hint="eastAsia" w:ascii="宋体" w:hAnsi="宋体" w:eastAsia="宋体" w:cs="宋体"/>
          <w:color w:val="auto"/>
          <w:szCs w:val="21"/>
          <w:highlight w:val="none"/>
          <w:lang w:bidi="ar"/>
        </w:rPr>
        <w:t>甲方委托的全部造价咨询服务项目完成之日止</w:t>
      </w:r>
      <w:r>
        <w:rPr>
          <w:rFonts w:hint="eastAsia" w:ascii="宋体" w:hAnsi="宋体" w:eastAsia="宋体" w:cs="宋体"/>
          <w:color w:val="auto"/>
          <w:kern w:val="2"/>
          <w:sz w:val="21"/>
          <w:szCs w:val="21"/>
          <w:highlight w:val="none"/>
          <w:lang w:val="en-US" w:eastAsia="zh-CN" w:bidi="ar"/>
        </w:rPr>
        <w:t>。</w:t>
      </w:r>
    </w:p>
    <w:p w14:paraId="014E59A3">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2" w:firstLineChars="200"/>
        <w:contextualSpacing/>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第三条 服务费的计算与支付</w:t>
      </w:r>
    </w:p>
    <w:p w14:paraId="414CFD7E">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1、本项目中标折扣系数为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4D613C3C">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2、单项造价咨询服务费参照《广东省物价局关于调整我省建设工程造价咨询服务收费的复函》(粤价函</w:t>
      </w:r>
      <w:r>
        <w:rPr>
          <w:rFonts w:hint="eastAsia" w:ascii="微软雅黑" w:hAnsi="微软雅黑" w:eastAsia="微软雅黑" w:cs="微软雅黑"/>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2011</w:t>
      </w:r>
      <w:r>
        <w:rPr>
          <w:rFonts w:hint="eastAsia" w:ascii="微软雅黑" w:hAnsi="微软雅黑" w:eastAsia="微软雅黑" w:cs="微软雅黑"/>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742号)中收费项目对应的收费标准，再乘以服务折扣系数，单项造价咨询服务不设最低收费。详细计费规则如下：</w:t>
      </w:r>
    </w:p>
    <w:p w14:paraId="5E13C5AA">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（1）工程类项目的造价咨询费计费规则</w:t>
      </w:r>
    </w:p>
    <w:p w14:paraId="1B5C9264">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投资估算的编制或审核、工程概算的编制或审核、工程预算的编制或审核、工程结算的编制、工程结算审核、施工阶段全过程造价控制，按《广东省建设工程造价咨询服务收费项目和收费标准表》(粤价函</w:t>
      </w:r>
      <w:r>
        <w:rPr>
          <w:rFonts w:hint="eastAsia" w:ascii="微软雅黑" w:hAnsi="微软雅黑" w:eastAsia="微软雅黑" w:cs="微软雅黑"/>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2011</w:t>
      </w:r>
      <w:r>
        <w:rPr>
          <w:rFonts w:hint="eastAsia" w:ascii="微软雅黑" w:hAnsi="微软雅黑" w:eastAsia="微软雅黑" w:cs="微软雅黑"/>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742号)相应的收费标准计费，再乘以服务折扣系数。如编制或审核的成果金额中含土地征用、迁移补偿等为取得或租用土地使用权而发生的费用，则以编制或审核的成果金额直接扣减该费用作为收费基数。</w:t>
      </w:r>
    </w:p>
    <w:p w14:paraId="2C26290A">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（2）非工程类货物采购、服务</w:t>
      </w:r>
      <w:r>
        <w:rPr>
          <w:rFonts w:hint="default" w:ascii="宋体" w:hAnsi="宋体" w:eastAsia="宋体" w:cs="宋体"/>
          <w:color w:val="auto"/>
          <w:kern w:val="2"/>
          <w:sz w:val="21"/>
          <w:szCs w:val="21"/>
          <w:highlight w:val="none"/>
          <w:lang w:val="en-US" w:eastAsia="zh-CN" w:bidi="ar"/>
        </w:rPr>
        <w:t>类</w:t>
      </w:r>
      <w:r>
        <w:rPr>
          <w:rFonts w:hint="eastAsia" w:ascii="宋体" w:hAnsi="宋体" w:eastAsia="宋体" w:cs="宋体"/>
          <w:color w:val="auto"/>
          <w:kern w:val="2"/>
          <w:sz w:val="21"/>
          <w:szCs w:val="21"/>
          <w:highlight w:val="none"/>
          <w:lang w:val="en-US" w:eastAsia="zh-CN" w:bidi="ar"/>
        </w:rPr>
        <w:t>项目的预算（招标控制价）编审、结算</w:t>
      </w:r>
    </w:p>
    <w:p w14:paraId="365C4FFD">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①预算（招标控制价）编审以单个委托单的清单条数为基准，按200元/条计算，有重复项的，只按一条计算，造价咨询费等于清单条数</w:t>
      </w:r>
      <w:r>
        <w:rPr>
          <w:rFonts w:hint="eastAsia" w:ascii="宋体" w:hAnsi="宋体" w:eastAsia="宋体" w:cs="宋体"/>
          <w:color w:val="auto"/>
          <w:spacing w:val="0"/>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200元/条，每单不足2000元按2000元计算，再乘以服务折扣系数；同时，单个委托单最高收费不超过其含税总预算价的1%，如遇特殊情况双方另行协商确定。</w:t>
      </w:r>
    </w:p>
    <w:p w14:paraId="6A01D1F8">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②货物合同结算、服务合同结算，以单个项目计算，每单2000元，再乘以服务折扣系数。</w:t>
      </w:r>
    </w:p>
    <w:p w14:paraId="649008EE">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（3）其他</w:t>
      </w:r>
    </w:p>
    <w:p w14:paraId="34504782">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①清单不平衡报价审核按每单项（单项造价委托）2000 元，再乘以服务折扣系数计取。</w:t>
      </w:r>
    </w:p>
    <w:p w14:paraId="68E06A86">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②进度款支付审核按每单项（单项造价委托）2000 元，再乘以服务折扣系数计取。</w:t>
      </w:r>
    </w:p>
    <w:p w14:paraId="265A48F0">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③工程变更预算编制或审核，以“│变更增加│+│变更减少│”即绝对值之和为计费基数，按《广东省建设工程造价咨询服务收费项目和收费标准表》(粤价函</w:t>
      </w:r>
      <w:r>
        <w:rPr>
          <w:rFonts w:hint="eastAsia" w:ascii="微软雅黑" w:hAnsi="微软雅黑" w:eastAsia="微软雅黑" w:cs="微软雅黑"/>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2011</w:t>
      </w:r>
      <w:r>
        <w:rPr>
          <w:rFonts w:hint="eastAsia" w:ascii="微软雅黑" w:hAnsi="微软雅黑" w:eastAsia="微软雅黑" w:cs="微软雅黑"/>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742号)中工程预算的编制或审核相应的收费标准及相关规定计费，再乘以服务折扣系数。变更的单项清单中，直接沿用原合同清单的(即不产生计算工程量及单价的)，不计入计费基数。</w:t>
      </w:r>
    </w:p>
    <w:p w14:paraId="52F81DF0">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④施工合同结算，对于总价包干合同，原合同价部分不参与计算咨询费。</w:t>
      </w:r>
    </w:p>
    <w:p w14:paraId="4E77C14C">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⑤如项目实施过程中，若存在单位工程未按概算总表中的单位工程目录实施，则施工阶段全过程造价咨询费的收费基数需重新调整对应的概算金额后重新计算。</w:t>
      </w:r>
    </w:p>
    <w:p w14:paraId="4308BD6B">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⑥在造价咨询服务过程中，如因建设标准、项目完整性等原因造成设计图纸修改，致使工程造价需要重新修改和确定，双方另行商议需增加的工作时限以及造价咨询服务费用。</w:t>
      </w:r>
    </w:p>
    <w:p w14:paraId="23279392">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单项造价咨询服务费包括了乙方完成招标文件和合同约定的全部工作所需支付的一切费用，为包干价，包括但不限于：(1)人员人工费(工资及加班工资、福利、社保、住房公积金、节日补贴、高温津贴、劳保、服装和膳食、意外伤害保险、加班费、住宿补贴、市内交通补贴、培训、经济补偿等)、驻场服务所需的差旅费、食宿费、交通费、通讯费、配合费、办理履约担保所需等费用；(2)合理利润、税费等；(3)法律法规、行业公认、完成合同实施过程中由乙方承担的其他直接及间接费用。</w:t>
      </w:r>
    </w:p>
    <w:p w14:paraId="443DFB50">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4、付费周期：以季度为单位，即按季度计量支付服务费。合同款项由甲方通过银行转账或银行承兑汇票方式支付相应款项至本合同载明的乙方银行账户，汇票期限不超过三个月。</w:t>
      </w:r>
    </w:p>
    <w:p w14:paraId="2E663D90">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5、每笔款项支付前，乙方应向实际开展业务委托的甲方提交该付费周期内单项造价咨询服务项目工作量清单</w:t>
      </w:r>
      <w:r>
        <w:rPr>
          <w:rFonts w:hint="eastAsia" w:ascii="宋体" w:hAnsi="宋体" w:eastAsia="宋体" w:cs="宋体"/>
          <w:color w:val="auto"/>
          <w:szCs w:val="21"/>
          <w:highlight w:val="none"/>
          <w:lang w:bidi="ar"/>
        </w:rPr>
        <w:t>/成果文件</w:t>
      </w:r>
      <w:r>
        <w:rPr>
          <w:rFonts w:hint="eastAsia" w:ascii="宋体" w:hAnsi="宋体" w:eastAsia="宋体" w:cs="宋体"/>
          <w:color w:val="auto"/>
          <w:kern w:val="2"/>
          <w:sz w:val="21"/>
          <w:szCs w:val="21"/>
          <w:highlight w:val="none"/>
          <w:lang w:val="en-US" w:eastAsia="zh-CN" w:bidi="ar"/>
        </w:rPr>
        <w:t>及对应的结算资料、请款报告及请款金额等额的合法、有效的增值税专用发票，经甲方确认无误后30日内支付相关费用。乙方逾期提交请款材料、发票或提交请款材料、发票不符合甲方要求的，甲方有权顺延支付相应款项，并不承担逾期付款的违约责任，由于乙方提供的发票不符合税法规定，给甲方造成的损失由乙方承担赔偿责任，乙方不得以此延迟而拒绝履行合同义务。</w:t>
      </w:r>
    </w:p>
    <w:p w14:paraId="0AA513C0">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6、乙方收款账户信息</w:t>
      </w:r>
    </w:p>
    <w:p w14:paraId="51E47843">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户  名：  </w:t>
      </w:r>
    </w:p>
    <w:p w14:paraId="7D5EB009">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开户行： </w:t>
      </w:r>
    </w:p>
    <w:p w14:paraId="489598C6">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账  号： </w:t>
      </w:r>
    </w:p>
    <w:p w14:paraId="350C91D4">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第四条 履约担保</w:t>
      </w:r>
    </w:p>
    <w:p w14:paraId="1C7EB61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1、乙方应当根据招标文件的规定在签订本合同前向甲方提供履约担保，履约担保形式及金额由乙方从以下方式中任选一种：</w:t>
      </w:r>
    </w:p>
    <w:p w14:paraId="692C328C">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□履约保证金（银行转账形式）金额为¥</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元，大写人民币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F0C9465">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□不可撤销银行履约保函金额为¥</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元，大写人民币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BBC4E4D">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履约保证保险凭证金额</w:t>
      </w:r>
      <w:r>
        <w:rPr>
          <w:rFonts w:hint="eastAsia" w:ascii="宋体" w:hAnsi="宋体" w:eastAsia="宋体" w:cs="宋体"/>
          <w:b w:val="0"/>
          <w:bCs w:val="0"/>
          <w:color w:val="auto"/>
          <w:kern w:val="2"/>
          <w:sz w:val="21"/>
          <w:szCs w:val="21"/>
          <w:highlight w:val="none"/>
          <w:lang w:val="en-US" w:eastAsia="zh-CN" w:bidi="ar"/>
        </w:rPr>
        <w:t>为</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元，大写人民币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w:t>
      </w:r>
    </w:p>
    <w:p w14:paraId="419E237C">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□担保公司履约担保书金额为¥</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元，大写人民币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28EC8B04">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2、合同履行过程中，乙方给甲方造成的损失超过履约担保数额的，乙方还应当对超过部分予以赔偿，甲方并依法追究乙方的相应责任。</w:t>
      </w:r>
    </w:p>
    <w:p w14:paraId="739DD4E7">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3、履约担保用于补偿甲方因乙方不能完全履行其合同义务而蒙受的损失或其他合同约定的事项。如发生下列任一情况时，甲方有权依合同追究违约责任外，同时有权提取履约担保并进行相应处理：</w:t>
      </w:r>
    </w:p>
    <w:p w14:paraId="5F6E9CD0">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（1）乙方将合同项下乙方的权利义务全部转让给第三方，或未经甲方书面同意将部分权利义务转让给第三方的，甲方有权没收其履约担保。</w:t>
      </w:r>
    </w:p>
    <w:p w14:paraId="5BB6DB7D">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（2）在合同履行期间，乙方怠于履行合同义务，经甲方</w:t>
      </w:r>
      <w:r>
        <w:rPr>
          <w:rFonts w:hint="eastAsia" w:ascii="宋体" w:hAnsi="宋体" w:eastAsia="宋体" w:cs="Times New Roman"/>
          <w:color w:val="auto"/>
          <w:kern w:val="0"/>
          <w:szCs w:val="21"/>
          <w:highlight w:val="none"/>
        </w:rPr>
        <w:t>通知或要求承担违约金后</w:t>
      </w:r>
      <w:r>
        <w:rPr>
          <w:rFonts w:hint="eastAsia" w:ascii="宋体" w:hAnsi="宋体" w:eastAsia="宋体" w:cs="宋体"/>
          <w:color w:val="auto"/>
          <w:kern w:val="2"/>
          <w:sz w:val="21"/>
          <w:szCs w:val="21"/>
          <w:highlight w:val="none"/>
          <w:lang w:val="en-US" w:eastAsia="zh-CN" w:bidi="ar"/>
        </w:rPr>
        <w:t>仍拒不改正的，甲方可依法没收或适当扣除其履约担保。</w:t>
      </w:r>
    </w:p>
    <w:p w14:paraId="6A1E505A">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合同履行期间，因乙方服务质量问题造成损害、侵权损失（包括但不限于甲方经济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0FBC4585">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（4）在合同履行期间，乙方违约产生的违约金、赔偿、罚款或其他应付费用等款项，甲方有权直接从未付款项中直接扣除或启用履约担保予以支付。</w:t>
      </w:r>
    </w:p>
    <w:p w14:paraId="1DC11779">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（5）合同期内，乙方不能及时完成合同某项义务的，甲方有权提取履约担保用于处理该项工作。</w:t>
      </w:r>
    </w:p>
    <w:p w14:paraId="00A31DBE">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（6）其他根据本合同约定或法律规定，甲方可启用履约担保的情形。</w:t>
      </w:r>
    </w:p>
    <w:p w14:paraId="1F8A3FFF">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以履约保证金（银行转账形式）提供履约担保的，在合同期限届满并且乙方完成本合同及本合同下所有单项服务协议及补充协议的全部服务义务，甲方向乙方支付全部款项后二十八(28)日后，经甲方确认，乙方可向甲方提交退回履约担保的申请。甲方审核无异议后，办理履约担保退还手续，履约担保金余额无息退还乙方。</w:t>
      </w:r>
    </w:p>
    <w:p w14:paraId="5F92D800">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乙方提供不可撤销银行履约保函（或履约保证保险或担保公司履约担保书）作为履约担保的，不可撤销银行履约保函（或履约保证保险或担保公司履约担保书）应从合同签订之日起(或签订合同前)至合同期限届满并完成本合同及本合同下所有单项服务协议及补充协议的全部服务义务，甲方向乙方支付全部款项后二十八(28)日内保持有效。如不可撤销银行履约保函（或履约保证保险或担保公司履约担保书）到期时乙方尚未完成本合同及本合同下所有单项服务协议及补充协议的全部服务义务或甲方未支付全部款项,乙方必须在不可撤销银行履约保函（或履约保证保险或担保公司履约担保书）到期15日前无条件办理符合甲方要求的履约担保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费用中扣除。</w:t>
      </w:r>
    </w:p>
    <w:p w14:paraId="78E78F8B">
      <w:pPr>
        <w:keepNext w:val="0"/>
        <w:keepLines w:val="0"/>
        <w:pageBreakBefore w:val="0"/>
        <w:widowControl/>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5B009FB5">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第五条 甲方权利与义务</w:t>
      </w:r>
    </w:p>
    <w:p w14:paraId="0A899FF7">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1、甲方有权要求乙方按合同约定提供相关的咨询服务，对乙方不符合本合同约定的行为要求限期整改。</w:t>
      </w:r>
    </w:p>
    <w:p w14:paraId="4988DA45">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2、甲方应向乙方提供履行本合同范围内所必需的信息和内部相关资料，对所提供资料的真实性、准确性、合法性与完善性负责，并且甲方需要为乙方提供必要人员安排、场地等现场工作支持。</w:t>
      </w:r>
    </w:p>
    <w:p w14:paraId="3DF3726B">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3、甲方有义务协调和组织各有关方面人员，对乙方项目服务及成果文件予以审核。</w:t>
      </w:r>
    </w:p>
    <w:p w14:paraId="19F372DE">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4、甲方有权要求乙方对其所提交的成果文件进行解释、说明或解答甲方提出的质询等。</w:t>
      </w:r>
    </w:p>
    <w:p w14:paraId="055049A2">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5、在合同履行期间，根据实际需要，甲方有权对服务内容、要求等进行调整，乙方应当遵守执行。</w:t>
      </w:r>
    </w:p>
    <w:p w14:paraId="024F94EA">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6、如果甲方对乙方项目成员的工作不满意，有权单方要求乙方在指定期限内更换符合要求的项目人员，乙方应遵照执行。</w:t>
      </w:r>
    </w:p>
    <w:p w14:paraId="5B89A959">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lang w:val="en-US" w:eastAsia="zh-CN" w:bidi="ar"/>
        </w:rPr>
        <w:t>7、甲方有权根据附件所列《考核表》的标准对乙方提供服务情况进行考核，合同履行期间，甲方有权对附件所列《考核表》进行调整，经双方认可后实施。</w:t>
      </w:r>
    </w:p>
    <w:p w14:paraId="0B480D10">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第六条 乙方权利与义务</w:t>
      </w:r>
    </w:p>
    <w:p w14:paraId="6FCE4E84">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需根据本合同约定的服务内容为甲方提供相应的咨询服务，但因实际情况发生变化导致服务范围有所变更的，乙方亦应予以履行，如由于服务范围变化导致与合同约定的工作内容发生重大变化，双方应协商确定相应的服务费用，在协商一致前乙方有权暂缓该项目。</w:t>
      </w:r>
    </w:p>
    <w:p w14:paraId="3ABF5B4D">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2、为保证项目执行的有效性及连续性，乙方应设置固定的项目负责人，其中乙方承诺保障咨询服务的整体高质量与高水平。</w:t>
      </w:r>
    </w:p>
    <w:p w14:paraId="1255F9D5">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3、乙方的项目负责人为：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3A2F7FBC">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4、乙方承诺不诱使甲方员工离开甲方或成为乙方雇员。未经甲方事先同意，乙方承诺在甲方场所不开展与本项目无关的工作，不探听、不传播与项目无关的信息，不干扰甲方业务的正常进行。 </w:t>
      </w:r>
    </w:p>
    <w:p w14:paraId="37C7DE88">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5、乙方有义务在合同约定的时间内完成并交付合同约定的各项工作和成果。 </w:t>
      </w:r>
    </w:p>
    <w:p w14:paraId="711A2077">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乙方有义务妥善保管好甲方提供的相关资料（包括书面和电子形式），不得向乙方内部无关人员以及任何第三方泄露有关内容。合同解除/终止后，乙方依然要对上述资料承担保密义务，直至相关信息被依法公开为止。</w:t>
      </w:r>
    </w:p>
    <w:p w14:paraId="1B5D93F1">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7、乙方有义务及时回复甲方所提出的与项目有关的问题。</w:t>
      </w:r>
    </w:p>
    <w:p w14:paraId="4B2AFF14">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8、乙方人员在甲方公司内活动时，需听从有关人员的安排和引导。</w:t>
      </w:r>
    </w:p>
    <w:p w14:paraId="3EEA015A">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9、乙方应对咨询服务的工作量、正确性、完整性、合法性和及时性负责。</w:t>
      </w:r>
    </w:p>
    <w:p w14:paraId="5A32CB73">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10、未经甲方书面同意，乙方不得将本合同或合同项下服务内容全部或部分委托给第三方。</w:t>
      </w:r>
    </w:p>
    <w:p w14:paraId="01E8F870">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11、乙方对服务成果文件出现的遗漏或错误应无条件负责修改或补充。</w:t>
      </w:r>
    </w:p>
    <w:p w14:paraId="1510B769">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乙方保证所提供的造价咨询服务均为采用优质的服务资源及工作流程，内容及质量完全符合相关规范、标准及甲方要求。由于乙方的主观原因而造成的差错，如错套定额，点错小数点、重项、漏项、工程量计算错误、高估冒算导致造价失实等，应当向甲方进行赔偿。由于甲方委托资料不完善、不准确而导致的造价偏差，不可算作乙方咨询成果的质量问题。</w:t>
      </w:r>
    </w:p>
    <w:p w14:paraId="295F7095">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13、乙方须承诺无条件接受甲方的指导、检查、监督及协调。</w:t>
      </w:r>
    </w:p>
    <w:p w14:paraId="02764F2A">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在本合同执行过程中，无论何种原因，乙方均不得消极怠工或拒不履行合同义务（包括但不限于修改成果文件、技术支持、解答释疑、事故处理等），如有违反，甲方有权就违约事宜提出改正，如乙方仍拒不改正的，甲方有权选择单方解除本服务合同，并追究乙方违约责任，同时有权依法委托有资质的第三方继续履行本合同义务。</w:t>
      </w:r>
    </w:p>
    <w:p w14:paraId="7A2FE3E3">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2" w:firstLineChars="200"/>
        <w:jc w:val="both"/>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第七条 成果文件交付期限及要求</w:t>
      </w:r>
    </w:p>
    <w:p w14:paraId="0144547B">
      <w:pPr>
        <w:keepNext w:val="0"/>
        <w:keepLines w:val="0"/>
        <w:pageBreakBefore w:val="0"/>
        <w:widowControl w:val="0"/>
        <w:suppressLineNumbers w:val="0"/>
        <w:kinsoku/>
        <w:wordWrap/>
        <w:overflowPunct/>
        <w:topLinePunct w:val="0"/>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1、单项造价咨询服务完成时间要求，具体如下：</w:t>
      </w:r>
    </w:p>
    <w:tbl>
      <w:tblPr>
        <w:tblStyle w:val="38"/>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1556"/>
        <w:gridCol w:w="1240"/>
        <w:gridCol w:w="1240"/>
        <w:gridCol w:w="1240"/>
        <w:gridCol w:w="2545"/>
        <w:gridCol w:w="851"/>
        <w:gridCol w:w="851"/>
      </w:tblGrid>
      <w:tr w14:paraId="50F2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5385A6BD">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序号</w:t>
            </w:r>
          </w:p>
        </w:tc>
        <w:tc>
          <w:tcPr>
            <w:tcW w:w="1556" w:type="dxa"/>
            <w:tcBorders>
              <w:top w:val="single" w:color="auto" w:sz="4" w:space="0"/>
              <w:left w:val="nil"/>
              <w:bottom w:val="single" w:color="auto" w:sz="4" w:space="0"/>
              <w:right w:val="single" w:color="auto" w:sz="4" w:space="0"/>
            </w:tcBorders>
            <w:shd w:val="clear" w:color="auto" w:fill="auto"/>
            <w:vAlign w:val="center"/>
          </w:tcPr>
          <w:p w14:paraId="799ACAA8">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金额（万元）</w:t>
            </w:r>
          </w:p>
        </w:tc>
        <w:tc>
          <w:tcPr>
            <w:tcW w:w="1240" w:type="dxa"/>
            <w:tcBorders>
              <w:top w:val="single" w:color="auto" w:sz="4" w:space="0"/>
              <w:left w:val="nil"/>
              <w:bottom w:val="single" w:color="auto" w:sz="4" w:space="0"/>
              <w:right w:val="single" w:color="auto" w:sz="4" w:space="0"/>
            </w:tcBorders>
            <w:shd w:val="clear" w:color="auto" w:fill="auto"/>
            <w:vAlign w:val="center"/>
          </w:tcPr>
          <w:p w14:paraId="0A407AAA">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投资估算审核</w:t>
            </w:r>
          </w:p>
        </w:tc>
        <w:tc>
          <w:tcPr>
            <w:tcW w:w="1240" w:type="dxa"/>
            <w:tcBorders>
              <w:top w:val="single" w:color="auto" w:sz="4" w:space="0"/>
              <w:left w:val="nil"/>
              <w:bottom w:val="single" w:color="auto" w:sz="4" w:space="0"/>
              <w:right w:val="single" w:color="auto" w:sz="4" w:space="0"/>
            </w:tcBorders>
            <w:shd w:val="clear" w:color="auto" w:fill="auto"/>
            <w:vAlign w:val="center"/>
          </w:tcPr>
          <w:p w14:paraId="13A09243">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初设概算审核</w:t>
            </w:r>
          </w:p>
        </w:tc>
        <w:tc>
          <w:tcPr>
            <w:tcW w:w="1240" w:type="dxa"/>
            <w:tcBorders>
              <w:top w:val="single" w:color="auto" w:sz="4" w:space="0"/>
              <w:left w:val="nil"/>
              <w:bottom w:val="single" w:color="auto" w:sz="4" w:space="0"/>
              <w:right w:val="single" w:color="auto" w:sz="4" w:space="0"/>
            </w:tcBorders>
            <w:shd w:val="clear" w:color="auto" w:fill="auto"/>
            <w:vAlign w:val="center"/>
          </w:tcPr>
          <w:p w14:paraId="61C92911">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招标控制价编制</w:t>
            </w:r>
          </w:p>
        </w:tc>
        <w:tc>
          <w:tcPr>
            <w:tcW w:w="2545" w:type="dxa"/>
            <w:tcBorders>
              <w:top w:val="single" w:color="auto" w:sz="4" w:space="0"/>
              <w:left w:val="nil"/>
              <w:bottom w:val="single" w:color="auto" w:sz="4" w:space="0"/>
              <w:right w:val="single" w:color="auto" w:sz="4" w:space="0"/>
            </w:tcBorders>
            <w:shd w:val="clear" w:color="auto" w:fill="auto"/>
            <w:vAlign w:val="center"/>
          </w:tcPr>
          <w:p w14:paraId="36112211">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施工图预算、变更预算、工程结算审核（或编制）</w:t>
            </w:r>
          </w:p>
        </w:tc>
        <w:tc>
          <w:tcPr>
            <w:tcW w:w="851" w:type="dxa"/>
            <w:tcBorders>
              <w:top w:val="single" w:color="auto" w:sz="4" w:space="0"/>
              <w:left w:val="nil"/>
              <w:bottom w:val="single" w:color="auto" w:sz="4" w:space="0"/>
              <w:right w:val="single" w:color="auto" w:sz="4" w:space="0"/>
            </w:tcBorders>
            <w:shd w:val="clear" w:color="auto" w:fill="auto"/>
            <w:vAlign w:val="center"/>
          </w:tcPr>
          <w:p w14:paraId="61D0AFD3">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工程款支付审核</w:t>
            </w:r>
          </w:p>
        </w:tc>
        <w:tc>
          <w:tcPr>
            <w:tcW w:w="851" w:type="dxa"/>
            <w:tcBorders>
              <w:top w:val="single" w:color="auto" w:sz="4" w:space="0"/>
              <w:left w:val="nil"/>
              <w:bottom w:val="single" w:color="auto" w:sz="4" w:space="0"/>
              <w:right w:val="single" w:color="auto" w:sz="4" w:space="0"/>
            </w:tcBorders>
            <w:shd w:val="clear" w:color="auto" w:fill="auto"/>
            <w:vAlign w:val="center"/>
          </w:tcPr>
          <w:p w14:paraId="7EBE87EA">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货物采购、服务</w:t>
            </w:r>
            <w:r>
              <w:rPr>
                <w:rFonts w:hint="default" w:ascii="宋体" w:hAnsi="宋体" w:eastAsia="宋体" w:cs="宋体"/>
                <w:color w:val="auto"/>
                <w:kern w:val="2"/>
                <w:sz w:val="21"/>
                <w:szCs w:val="21"/>
                <w:highlight w:val="none"/>
                <w:vertAlign w:val="baseline"/>
                <w:lang w:val="en-US" w:eastAsia="zh-CN" w:bidi="ar"/>
              </w:rPr>
              <w:t>类</w:t>
            </w:r>
            <w:r>
              <w:rPr>
                <w:rFonts w:hint="eastAsia" w:ascii="宋体" w:hAnsi="宋体" w:eastAsia="宋体" w:cs="宋体"/>
                <w:color w:val="auto"/>
                <w:kern w:val="2"/>
                <w:sz w:val="21"/>
                <w:szCs w:val="21"/>
                <w:highlight w:val="none"/>
                <w:vertAlign w:val="baseline"/>
                <w:lang w:val="en-US" w:eastAsia="zh-CN" w:bidi="ar"/>
              </w:rPr>
              <w:t>项目预算（招标控制价）编审</w:t>
            </w:r>
          </w:p>
        </w:tc>
      </w:tr>
      <w:tr w14:paraId="6201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208EBD0B">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w:t>
            </w:r>
          </w:p>
        </w:tc>
        <w:tc>
          <w:tcPr>
            <w:tcW w:w="1556" w:type="dxa"/>
            <w:tcBorders>
              <w:top w:val="single" w:color="auto" w:sz="4" w:space="0"/>
              <w:left w:val="nil"/>
              <w:bottom w:val="single" w:color="auto" w:sz="4" w:space="0"/>
              <w:right w:val="single" w:color="auto" w:sz="4" w:space="0"/>
            </w:tcBorders>
            <w:shd w:val="clear" w:color="auto" w:fill="auto"/>
            <w:vAlign w:val="center"/>
          </w:tcPr>
          <w:p w14:paraId="5A386434">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500以内</w:t>
            </w:r>
          </w:p>
        </w:tc>
        <w:tc>
          <w:tcPr>
            <w:tcW w:w="1240" w:type="dxa"/>
            <w:vMerge w:val="restart"/>
            <w:tcBorders>
              <w:top w:val="nil"/>
              <w:left w:val="nil"/>
              <w:right w:val="single" w:color="auto" w:sz="4" w:space="0"/>
            </w:tcBorders>
            <w:shd w:val="clear" w:color="auto" w:fill="auto"/>
            <w:vAlign w:val="center"/>
          </w:tcPr>
          <w:p w14:paraId="42EF2CA2">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default" w:ascii="宋体" w:hAnsi="宋体" w:eastAsia="宋体" w:cs="宋体"/>
                <w:color w:val="auto"/>
                <w:kern w:val="2"/>
                <w:sz w:val="21"/>
                <w:szCs w:val="21"/>
                <w:highlight w:val="none"/>
                <w:vertAlign w:val="baseline"/>
                <w:lang w:val="en-US" w:eastAsia="zh-CN" w:bidi="ar"/>
              </w:rPr>
            </w:pPr>
          </w:p>
          <w:p w14:paraId="6ECC63A9">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c>
          <w:tcPr>
            <w:tcW w:w="1240" w:type="dxa"/>
            <w:tcBorders>
              <w:top w:val="single" w:color="auto" w:sz="4" w:space="0"/>
              <w:left w:val="nil"/>
              <w:bottom w:val="single" w:color="auto" w:sz="4" w:space="0"/>
              <w:right w:val="single" w:color="auto" w:sz="4" w:space="0"/>
            </w:tcBorders>
            <w:shd w:val="clear" w:color="auto" w:fill="auto"/>
            <w:vAlign w:val="center"/>
          </w:tcPr>
          <w:p w14:paraId="5644710A">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c>
          <w:tcPr>
            <w:tcW w:w="1240" w:type="dxa"/>
            <w:tcBorders>
              <w:top w:val="single" w:color="auto" w:sz="4" w:space="0"/>
              <w:left w:val="nil"/>
              <w:bottom w:val="single" w:color="auto" w:sz="4" w:space="0"/>
              <w:right w:val="single" w:color="auto" w:sz="4" w:space="0"/>
            </w:tcBorders>
            <w:shd w:val="clear" w:color="auto" w:fill="auto"/>
            <w:vAlign w:val="center"/>
          </w:tcPr>
          <w:p w14:paraId="7E299E5B">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8工作日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74BC7BE8">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15工作日</w:t>
            </w:r>
          </w:p>
        </w:tc>
        <w:tc>
          <w:tcPr>
            <w:tcW w:w="851" w:type="dxa"/>
            <w:vMerge w:val="restart"/>
            <w:tcBorders>
              <w:top w:val="nil"/>
              <w:left w:val="nil"/>
              <w:bottom w:val="single" w:color="auto" w:sz="4" w:space="0"/>
              <w:right w:val="single" w:color="auto" w:sz="4" w:space="0"/>
            </w:tcBorders>
            <w:shd w:val="clear" w:color="auto" w:fill="auto"/>
            <w:vAlign w:val="center"/>
          </w:tcPr>
          <w:p w14:paraId="3778A543">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2工作日</w:t>
            </w:r>
          </w:p>
        </w:tc>
        <w:tc>
          <w:tcPr>
            <w:tcW w:w="851" w:type="dxa"/>
            <w:vMerge w:val="restart"/>
            <w:tcBorders>
              <w:top w:val="nil"/>
              <w:left w:val="nil"/>
              <w:bottom w:val="single" w:color="auto" w:sz="4" w:space="0"/>
              <w:right w:val="single" w:color="auto" w:sz="4" w:space="0"/>
            </w:tcBorders>
            <w:shd w:val="clear" w:color="auto" w:fill="auto"/>
            <w:vAlign w:val="center"/>
          </w:tcPr>
          <w:p w14:paraId="3230D2C4">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r>
      <w:tr w14:paraId="2D50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5ABD76D9">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w:t>
            </w:r>
          </w:p>
        </w:tc>
        <w:tc>
          <w:tcPr>
            <w:tcW w:w="1556" w:type="dxa"/>
            <w:tcBorders>
              <w:top w:val="single" w:color="auto" w:sz="4" w:space="0"/>
              <w:left w:val="nil"/>
              <w:bottom w:val="single" w:color="auto" w:sz="4" w:space="0"/>
              <w:right w:val="single" w:color="auto" w:sz="4" w:space="0"/>
            </w:tcBorders>
            <w:shd w:val="clear" w:color="auto" w:fill="auto"/>
            <w:vAlign w:val="center"/>
          </w:tcPr>
          <w:p w14:paraId="797A9B42">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500-2500</w:t>
            </w:r>
          </w:p>
        </w:tc>
        <w:tc>
          <w:tcPr>
            <w:tcW w:w="1240" w:type="dxa"/>
            <w:vMerge w:val="continue"/>
            <w:tcBorders>
              <w:left w:val="nil"/>
              <w:right w:val="single" w:color="auto" w:sz="4" w:space="0"/>
            </w:tcBorders>
            <w:shd w:val="clear" w:color="auto" w:fill="auto"/>
            <w:vAlign w:val="center"/>
          </w:tcPr>
          <w:p w14:paraId="769B3685">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p>
        </w:tc>
        <w:tc>
          <w:tcPr>
            <w:tcW w:w="1240" w:type="dxa"/>
            <w:vMerge w:val="restart"/>
            <w:tcBorders>
              <w:top w:val="nil"/>
              <w:left w:val="nil"/>
              <w:bottom w:val="single" w:color="auto" w:sz="4" w:space="0"/>
              <w:right w:val="single" w:color="auto" w:sz="4" w:space="0"/>
            </w:tcBorders>
            <w:shd w:val="clear" w:color="auto" w:fill="auto"/>
            <w:vAlign w:val="center"/>
          </w:tcPr>
          <w:p w14:paraId="0783D605">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15工作日</w:t>
            </w:r>
          </w:p>
        </w:tc>
        <w:tc>
          <w:tcPr>
            <w:tcW w:w="1240" w:type="dxa"/>
            <w:tcBorders>
              <w:top w:val="single" w:color="auto" w:sz="4" w:space="0"/>
              <w:left w:val="nil"/>
              <w:bottom w:val="single" w:color="auto" w:sz="4" w:space="0"/>
              <w:right w:val="single" w:color="auto" w:sz="4" w:space="0"/>
            </w:tcBorders>
            <w:shd w:val="clear" w:color="auto" w:fill="auto"/>
            <w:vAlign w:val="center"/>
          </w:tcPr>
          <w:p w14:paraId="2B3082D8">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10工作日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6472A3DE">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18工作日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6108D42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65263DC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14:paraId="701C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7A0C8A16">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3</w:t>
            </w:r>
          </w:p>
        </w:tc>
        <w:tc>
          <w:tcPr>
            <w:tcW w:w="1556" w:type="dxa"/>
            <w:tcBorders>
              <w:top w:val="single" w:color="auto" w:sz="4" w:space="0"/>
              <w:left w:val="nil"/>
              <w:bottom w:val="single" w:color="auto" w:sz="4" w:space="0"/>
              <w:right w:val="single" w:color="auto" w:sz="4" w:space="0"/>
            </w:tcBorders>
            <w:shd w:val="clear" w:color="auto" w:fill="auto"/>
            <w:vAlign w:val="center"/>
          </w:tcPr>
          <w:p w14:paraId="44380C2F">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2500-5000</w:t>
            </w:r>
          </w:p>
        </w:tc>
        <w:tc>
          <w:tcPr>
            <w:tcW w:w="1240" w:type="dxa"/>
            <w:vMerge w:val="continue"/>
            <w:tcBorders>
              <w:left w:val="nil"/>
              <w:right w:val="single" w:color="auto" w:sz="4" w:space="0"/>
            </w:tcBorders>
            <w:shd w:val="clear" w:color="auto" w:fill="auto"/>
            <w:vAlign w:val="center"/>
          </w:tcPr>
          <w:p w14:paraId="460FF8B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vMerge w:val="continue"/>
            <w:tcBorders>
              <w:top w:val="nil"/>
              <w:left w:val="nil"/>
              <w:bottom w:val="single" w:color="auto" w:sz="4" w:space="0"/>
              <w:right w:val="single" w:color="auto" w:sz="4" w:space="0"/>
            </w:tcBorders>
            <w:shd w:val="clear" w:color="auto" w:fill="auto"/>
            <w:vAlign w:val="center"/>
          </w:tcPr>
          <w:p w14:paraId="3D5BE214">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tcBorders>
              <w:top w:val="single" w:color="auto" w:sz="4" w:space="0"/>
              <w:left w:val="nil"/>
              <w:bottom w:val="single" w:color="auto" w:sz="4" w:space="0"/>
              <w:right w:val="single" w:color="auto" w:sz="4" w:space="0"/>
            </w:tcBorders>
            <w:shd w:val="clear" w:color="auto" w:fill="auto"/>
            <w:vAlign w:val="center"/>
          </w:tcPr>
          <w:p w14:paraId="5D4687D8">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12工作日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54876BE2">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20工作日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2A77066D">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216BA5A9">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14:paraId="32C6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64F14A1E">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4</w:t>
            </w:r>
          </w:p>
        </w:tc>
        <w:tc>
          <w:tcPr>
            <w:tcW w:w="1556" w:type="dxa"/>
            <w:tcBorders>
              <w:top w:val="single" w:color="auto" w:sz="4" w:space="0"/>
              <w:left w:val="nil"/>
              <w:bottom w:val="single" w:color="auto" w:sz="4" w:space="0"/>
              <w:right w:val="single" w:color="auto" w:sz="4" w:space="0"/>
            </w:tcBorders>
            <w:shd w:val="clear" w:color="auto" w:fill="auto"/>
            <w:vAlign w:val="center"/>
          </w:tcPr>
          <w:p w14:paraId="176B092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5000-10000</w:t>
            </w:r>
          </w:p>
        </w:tc>
        <w:tc>
          <w:tcPr>
            <w:tcW w:w="1240" w:type="dxa"/>
            <w:vMerge w:val="continue"/>
            <w:tcBorders>
              <w:left w:val="nil"/>
              <w:right w:val="single" w:color="auto" w:sz="4" w:space="0"/>
            </w:tcBorders>
            <w:shd w:val="clear" w:color="auto" w:fill="auto"/>
            <w:vAlign w:val="center"/>
          </w:tcPr>
          <w:p w14:paraId="55319F71">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vMerge w:val="continue"/>
            <w:tcBorders>
              <w:top w:val="nil"/>
              <w:left w:val="nil"/>
              <w:bottom w:val="single" w:color="auto" w:sz="4" w:space="0"/>
              <w:right w:val="single" w:color="auto" w:sz="4" w:space="0"/>
            </w:tcBorders>
            <w:shd w:val="clear" w:color="auto" w:fill="auto"/>
            <w:vAlign w:val="center"/>
          </w:tcPr>
          <w:p w14:paraId="178ACFCB">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tcBorders>
              <w:top w:val="single" w:color="auto" w:sz="4" w:space="0"/>
              <w:left w:val="nil"/>
              <w:bottom w:val="single" w:color="auto" w:sz="4" w:space="0"/>
              <w:right w:val="single" w:color="auto" w:sz="4" w:space="0"/>
            </w:tcBorders>
            <w:shd w:val="clear" w:color="auto" w:fill="auto"/>
            <w:vAlign w:val="center"/>
          </w:tcPr>
          <w:p w14:paraId="0C66AD3C">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16工作日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535EF913">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26工作日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2BD41B2F">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73F63C37">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14:paraId="63BA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14:paraId="521A2CE5">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5</w:t>
            </w:r>
          </w:p>
        </w:tc>
        <w:tc>
          <w:tcPr>
            <w:tcW w:w="1556" w:type="dxa"/>
            <w:tcBorders>
              <w:top w:val="single" w:color="auto" w:sz="4" w:space="0"/>
              <w:left w:val="nil"/>
              <w:bottom w:val="single" w:color="auto" w:sz="4" w:space="0"/>
              <w:right w:val="single" w:color="auto" w:sz="4" w:space="0"/>
            </w:tcBorders>
            <w:shd w:val="clear" w:color="auto" w:fill="auto"/>
            <w:vAlign w:val="center"/>
          </w:tcPr>
          <w:p w14:paraId="74A05924">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&gt;10000</w:t>
            </w:r>
          </w:p>
        </w:tc>
        <w:tc>
          <w:tcPr>
            <w:tcW w:w="1240" w:type="dxa"/>
            <w:vMerge w:val="continue"/>
            <w:tcBorders>
              <w:left w:val="nil"/>
              <w:bottom w:val="single" w:color="auto" w:sz="4" w:space="0"/>
              <w:right w:val="single" w:color="auto" w:sz="4" w:space="0"/>
            </w:tcBorders>
            <w:shd w:val="clear" w:color="auto" w:fill="auto"/>
            <w:vAlign w:val="center"/>
          </w:tcPr>
          <w:p w14:paraId="618D74D5">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vMerge w:val="continue"/>
            <w:tcBorders>
              <w:top w:val="nil"/>
              <w:left w:val="nil"/>
              <w:bottom w:val="single" w:color="auto" w:sz="4" w:space="0"/>
              <w:right w:val="single" w:color="auto" w:sz="4" w:space="0"/>
            </w:tcBorders>
            <w:shd w:val="clear" w:color="auto" w:fill="auto"/>
            <w:vAlign w:val="center"/>
          </w:tcPr>
          <w:p w14:paraId="489421FC">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1240" w:type="dxa"/>
            <w:tcBorders>
              <w:top w:val="single" w:color="auto" w:sz="4" w:space="0"/>
              <w:left w:val="nil"/>
              <w:bottom w:val="single" w:color="auto" w:sz="4" w:space="0"/>
              <w:right w:val="single" w:color="auto" w:sz="4" w:space="0"/>
            </w:tcBorders>
            <w:shd w:val="clear" w:color="auto" w:fill="auto"/>
            <w:vAlign w:val="center"/>
          </w:tcPr>
          <w:p w14:paraId="1B33E7A6">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18工作日</w:t>
            </w:r>
          </w:p>
        </w:tc>
        <w:tc>
          <w:tcPr>
            <w:tcW w:w="2545" w:type="dxa"/>
            <w:tcBorders>
              <w:top w:val="single" w:color="auto" w:sz="4" w:space="0"/>
              <w:left w:val="nil"/>
              <w:bottom w:val="single" w:color="auto" w:sz="4" w:space="0"/>
              <w:right w:val="single" w:color="auto" w:sz="4" w:space="0"/>
            </w:tcBorders>
            <w:shd w:val="clear" w:color="auto" w:fill="auto"/>
            <w:vAlign w:val="center"/>
          </w:tcPr>
          <w:p w14:paraId="2850DA02">
            <w:pPr>
              <w:keepNext w:val="0"/>
              <w:keepLines w:val="0"/>
              <w:widowControl/>
              <w:suppressLineNumbers w:val="0"/>
              <w:topLinePunct/>
              <w:autoSpaceDE w:val="0"/>
              <w:autoSpaceDN/>
              <w:adjustRightInd w:val="0"/>
              <w:snapToGrid w:val="0"/>
              <w:spacing w:before="0" w:beforeAutospacing="0" w:after="0" w:afterAutospacing="0"/>
              <w:ind w:left="0" w:right="0"/>
              <w:jc w:val="center"/>
              <w:textAlignment w:val="baseline"/>
              <w:rPr>
                <w:rFonts w:hint="eastAsia" w:ascii="宋体" w:hAnsi="宋体" w:eastAsia="宋体" w:cs="宋体"/>
                <w:color w:val="auto"/>
                <w:kern w:val="2"/>
                <w:sz w:val="21"/>
                <w:szCs w:val="21"/>
                <w:highlight w:val="none"/>
                <w:vertAlign w:val="baseline"/>
              </w:rPr>
            </w:pPr>
            <w:r>
              <w:rPr>
                <w:rFonts w:hint="eastAsia" w:ascii="宋体" w:hAnsi="宋体" w:eastAsia="宋体" w:cs="宋体"/>
                <w:color w:val="auto"/>
                <w:kern w:val="2"/>
                <w:sz w:val="21"/>
                <w:szCs w:val="21"/>
                <w:highlight w:val="none"/>
                <w:vertAlign w:val="baseline"/>
                <w:lang w:val="en-US" w:eastAsia="zh-CN" w:bidi="ar"/>
              </w:rPr>
              <w:t>28工作日</w:t>
            </w:r>
          </w:p>
        </w:tc>
        <w:tc>
          <w:tcPr>
            <w:tcW w:w="851" w:type="dxa"/>
            <w:vMerge w:val="continue"/>
            <w:tcBorders>
              <w:top w:val="nil"/>
              <w:left w:val="nil"/>
              <w:bottom w:val="single" w:color="auto" w:sz="4" w:space="0"/>
              <w:right w:val="single" w:color="auto" w:sz="4" w:space="0"/>
            </w:tcBorders>
            <w:shd w:val="clear" w:color="auto" w:fill="auto"/>
            <w:vAlign w:val="center"/>
          </w:tcPr>
          <w:p w14:paraId="0D5551B2">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c>
          <w:tcPr>
            <w:tcW w:w="851" w:type="dxa"/>
            <w:vMerge w:val="continue"/>
            <w:tcBorders>
              <w:top w:val="nil"/>
              <w:left w:val="nil"/>
              <w:bottom w:val="single" w:color="auto" w:sz="4" w:space="0"/>
              <w:right w:val="single" w:color="auto" w:sz="4" w:space="0"/>
            </w:tcBorders>
            <w:shd w:val="clear" w:color="auto" w:fill="auto"/>
            <w:vAlign w:val="center"/>
          </w:tcPr>
          <w:p w14:paraId="5E2EDE20">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bl>
    <w:p w14:paraId="05E5FE9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2、以上时限为乙方完成单项工程造价咨询服务并向甲方正式报出初稿成果文件的时间。甲方有权根据单项工作实际情况，要求乙方加快完成相关工作，乙方应予以配合。</w:t>
      </w:r>
    </w:p>
    <w:p w14:paraId="26776DF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3、在履约期间，如甲方的委托资料不齐全或甲方对乙方所提出的问题不能及时核对或答复，则乙方的服务期限可相应顺延，并不因此承担违约责任。</w:t>
      </w:r>
    </w:p>
    <w:p w14:paraId="5D3EB4B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4、成果文件的交付数量及要求。</w:t>
      </w:r>
    </w:p>
    <w:p w14:paraId="75BF5F8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（1）结算审核业务的成果文件需包含《项目造价审核表》、《结算审核书》、《审核说明》及项目报表。</w:t>
      </w:r>
    </w:p>
    <w:p w14:paraId="027D2CC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（2）估算编审、概算编审、预算编审业务的成果文件需包含封面、编制说明及项目报表。如根据图纸算量需提供工程量计算底稿电子版。</w:t>
      </w:r>
    </w:p>
    <w:p w14:paraId="2C3DE7B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（3）通过询价方式编制的货物采购、服务</w:t>
      </w:r>
      <w:r>
        <w:rPr>
          <w:rFonts w:hint="default" w:ascii="宋体" w:hAnsi="宋体" w:eastAsia="宋体" w:cs="宋体"/>
          <w:color w:val="auto"/>
          <w:kern w:val="2"/>
          <w:sz w:val="21"/>
          <w:szCs w:val="21"/>
          <w:highlight w:val="none"/>
          <w:lang w:val="en-US" w:eastAsia="zh-CN" w:bidi="ar"/>
        </w:rPr>
        <w:t>类</w:t>
      </w:r>
      <w:r>
        <w:rPr>
          <w:rFonts w:hint="eastAsia" w:ascii="宋体" w:hAnsi="宋体" w:eastAsia="宋体" w:cs="宋体"/>
          <w:color w:val="auto"/>
          <w:kern w:val="2"/>
          <w:sz w:val="21"/>
          <w:szCs w:val="21"/>
          <w:highlight w:val="none"/>
          <w:lang w:val="en-US" w:eastAsia="zh-CN" w:bidi="ar"/>
        </w:rPr>
        <w:t>招标控制价，需提供询价过程资料、询价单位清单、招标控制价编制情况说明等资料。</w:t>
      </w:r>
    </w:p>
    <w:p w14:paraId="35B48D2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（4）乙方向甲方提交的初稿成果文件，需包含电子版（包括广联达、Excel、Word等可编辑格式）及成果扫描版一套，无需提交纸质版。</w:t>
      </w:r>
    </w:p>
    <w:p w14:paraId="3968EB1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（5）乙方向甲方提交的终稿成果文件，需包含电子版（包括广联达、Excel、Word等可编辑格式）及经甲方审核确认的成果扫描版一套，纸质成果文件四套。</w:t>
      </w:r>
    </w:p>
    <w:p w14:paraId="046DD9D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5、成果验收</w:t>
      </w:r>
    </w:p>
    <w:p w14:paraId="2DC1C1D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（1）验收标准：甲方按照本合同约定的服务内容对终稿成果文件进行验收。乙方提交的终稿成果文件须符合本合同约定的要求，且须经甲方确认后即视为验收合格。</w:t>
      </w:r>
    </w:p>
    <w:p w14:paraId="3E6953A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（2）甲方对服务成果的验收不能免除乙方应承担的质量责任。</w:t>
      </w:r>
    </w:p>
    <w:p w14:paraId="2C8003B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2" w:firstLineChars="200"/>
        <w:jc w:val="both"/>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第八条 服务要求</w:t>
      </w:r>
    </w:p>
    <w:p w14:paraId="6A543FB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国家和省、市有关工程造价的法规、政策、文件、以及基建财务管理的有关规定，本着为甲方节约投资的原则，科学、客观、公正地开展工程造价咨询服务工作；应按甲方的要求，按时按质按量提供咨询报告，对成果报告的真实性、准确性、完整性、合法性、合理性负责，并负有保密责任。</w:t>
      </w:r>
    </w:p>
    <w:p w14:paraId="6956339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根据甲方的委托，编制和审核的工程概预算(含最高限价)、招标工程量清单应确保结果完整、科学、准确，符合工程项目的实际情况和国家有关工程计价规范；招标工程量清单设置要科学、合理，不得有高估冒算、虚列项目，也不得有漏项漏量、重项错量等错误，如有上述错误，应负相应的责任。</w:t>
      </w:r>
    </w:p>
    <w:p w14:paraId="7E913ED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3、在编制和审核工程概预算(含最高限价)、招标工程量清单时，如甲方有相关需求，乙方须对项目的设计方案作出技术经济分析，并向甲方提出优化方案和合理化建议。</w:t>
      </w:r>
    </w:p>
    <w:p w14:paraId="71C5F2F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要坚持科学准确、客观真实、公平公正、合理合法、廉洁高效的原则，审核工程竣工结算。必须及时配合甲方解决结算审核中存在的技术问题，在服务过程中，如发现计价原则方法的确定、重大的签证审核以及工程管理中存在违规行为要及时向甲方反映，不得擅自作出处理，要对项目的全过程管理依法作出正确的评价。</w:t>
      </w:r>
    </w:p>
    <w:p w14:paraId="64C7AD8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5、对存有疑问的地方，应配合甲方深入现场调查取证，逐一核实，按实际情况调整，保证工程造价咨询服务成果文件的合理性和真实性。重要的材料或设备价格，应及时与甲方沟通，协商确定合理的价格。</w:t>
      </w:r>
    </w:p>
    <w:p w14:paraId="2961D2A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6、配合甲方做好编审依据的收集及取证工作，所有的编审依据必须是有效的书面资料，并妥善保存。</w:t>
      </w:r>
    </w:p>
    <w:p w14:paraId="59E3CD2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7、不得接受同一项目不同委托人的造价咨询服务委托，即就同一项目既接受甲方的委托，又接受项目投标供应商、承包单位等相对利益关系人的委托。</w:t>
      </w:r>
    </w:p>
    <w:p w14:paraId="33C0F0D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8、项目的结果未经甲方许可，不得泄露给他人。乙方应对受托任务涉及的有关资料、内容、成果以及结论承担保密的义务。</w:t>
      </w:r>
    </w:p>
    <w:p w14:paraId="5DAC7AD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9、对于甲方要求乙方驻场服务的项目，乙方有义务派出专业的人员驻场服务，服务场地由甲方提供。</w:t>
      </w:r>
    </w:p>
    <w:p w14:paraId="7E2B1AB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10、在合同服务期内，乙方承诺本项目服务人员接到甲方通知后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小时内响应；如甲方对造价咨询成果文件有反馈意见</w:t>
      </w:r>
      <w:r>
        <w:rPr>
          <w:rFonts w:hint="eastAsia" w:ascii="宋体" w:hAnsi="宋体" w:eastAsia="宋体" w:cs="宋体"/>
          <w:color w:val="auto"/>
          <w:szCs w:val="21"/>
          <w:highlight w:val="none"/>
          <w:lang w:bidi="ar"/>
        </w:rPr>
        <w:t>而需要作出调整修改</w:t>
      </w:r>
      <w:r>
        <w:rPr>
          <w:rFonts w:hint="eastAsia" w:ascii="宋体" w:hAnsi="宋体" w:eastAsia="宋体" w:cs="宋体"/>
          <w:color w:val="auto"/>
          <w:kern w:val="2"/>
          <w:sz w:val="21"/>
          <w:szCs w:val="21"/>
          <w:highlight w:val="none"/>
          <w:lang w:val="en-US" w:eastAsia="zh-CN" w:bidi="ar"/>
        </w:rPr>
        <w:t>的，承诺在收到甲方的意见后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天内完成修改。</w:t>
      </w:r>
    </w:p>
    <w:p w14:paraId="4D4FEB0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11、人员要求</w:t>
      </w:r>
    </w:p>
    <w:p w14:paraId="068E9D0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（1）拟投入本项目的技术负责人(仅一人)须具有一级造价工程师注册证书，并具有工程类相关高级专业技术职称。</w:t>
      </w:r>
    </w:p>
    <w:p w14:paraId="2AE26754">
      <w:pPr>
        <w:pStyle w:val="16"/>
        <w:keepNext w:val="0"/>
        <w:keepLines w:val="0"/>
        <w:pageBreakBefore w:val="0"/>
        <w:widowControl/>
        <w:kinsoku/>
        <w:wordWrap/>
        <w:overflowPunct/>
        <w:topLinePunct w:val="0"/>
        <w:autoSpaceDE/>
        <w:autoSpaceDN/>
        <w:bidi w:val="0"/>
        <w:adjustRightInd/>
        <w:snapToGrid/>
        <w:spacing w:line="360" w:lineRule="auto"/>
        <w:ind w:left="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（2）拟投入本项目的服务团队(除技术负责人外)取得二级或以上造价工程师注册证书的人员应不少于6人。</w:t>
      </w:r>
    </w:p>
    <w:p w14:paraId="0501310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2" w:firstLineChars="200"/>
        <w:jc w:val="both"/>
        <w:textAlignment w:val="auto"/>
        <w:outlineLvl w:val="9"/>
        <w:rPr>
          <w:rFonts w:hint="eastAsia" w:ascii="宋体" w:hAnsi="宋体" w:eastAsia="宋体" w:cs="宋体"/>
          <w:b/>
          <w:bCs w:val="0"/>
          <w:color w:val="auto"/>
          <w:kern w:val="2"/>
          <w:sz w:val="21"/>
          <w:szCs w:val="21"/>
          <w:highlight w:val="none"/>
          <w:lang w:bidi="ar"/>
        </w:rPr>
      </w:pPr>
      <w:r>
        <w:rPr>
          <w:rFonts w:hint="eastAsia" w:ascii="宋体" w:hAnsi="宋体" w:eastAsia="宋体" w:cs="宋体"/>
          <w:b/>
          <w:bCs w:val="0"/>
          <w:color w:val="auto"/>
          <w:kern w:val="2"/>
          <w:sz w:val="21"/>
          <w:szCs w:val="21"/>
          <w:highlight w:val="none"/>
          <w:lang w:val="en-US" w:eastAsia="zh-CN" w:bidi="ar"/>
        </w:rPr>
        <w:t>第九条 知识产权</w:t>
      </w:r>
    </w:p>
    <w:p w14:paraId="6B212EC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在提供造价咨询服务过程中，涉及所承接项目的相关技术资料、图表、服务成果所有权及知识产权均属于甲方，且乙方保证，甲方在使用本合同项下由乙方提供的造价咨询服务成果时，免受第三方提出的侵犯其专利权、商标权、著作权或其他知识产权的起诉，否则，乙方应向甲方支付违约金20000元，同时还应由乙方负责处理并承担相应的责任，并赔偿甲方因此遭受的损失（包括但不限于律师费、诉讼费、执行费、保全费、公证费、鉴定费等）。如因此导致甲方无法使用服务成果的，乙方应退还甲方已支付的全部费用。在不侵犯双方利益的情况下，双方可保留相关技术资料文件以及成果文件等，以备主管部门核查。</w:t>
      </w:r>
    </w:p>
    <w:p w14:paraId="246DC8C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2" w:firstLineChars="200"/>
        <w:jc w:val="both"/>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第十条  违约责任</w:t>
      </w:r>
    </w:p>
    <w:p w14:paraId="16E1416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在本合同履行期间，甲方因实际情况发生变化，需取消已委派的项目时，若乙方还未开展实际咨询工作的，甲方无需向乙方支付咨询费用；若乙方已开展实际咨询工作的，甲方应按乙方实际完成并经甲方审核确认的工作量</w:t>
      </w:r>
      <w:r>
        <w:rPr>
          <w:rFonts w:hint="eastAsia" w:ascii="宋体" w:hAnsi="宋体" w:eastAsia="宋体" w:cs="宋体"/>
          <w:color w:val="auto"/>
          <w:szCs w:val="21"/>
          <w:highlight w:val="none"/>
          <w:lang w:bidi="ar"/>
        </w:rPr>
        <w:t>根据本合同第三条款</w:t>
      </w:r>
      <w:r>
        <w:rPr>
          <w:rFonts w:hint="eastAsia" w:ascii="宋体" w:hAnsi="宋体" w:eastAsia="宋体" w:cs="宋体"/>
          <w:color w:val="auto"/>
          <w:kern w:val="2"/>
          <w:sz w:val="21"/>
          <w:szCs w:val="21"/>
          <w:highlight w:val="none"/>
          <w:lang w:val="en-US" w:eastAsia="zh-CN" w:bidi="ar"/>
        </w:rPr>
        <w:t>支付咨询费用。</w:t>
      </w:r>
    </w:p>
    <w:p w14:paraId="6598640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2、合同履行期间，甲方有权根据《考核表》扣分情况，累计出现3次单个项目扣分达到20分或单次考核扣分达到40分时甲方有权单方解除本合同，给甲方造成损失的，乙方还应足额赔偿甲方。</w:t>
      </w:r>
    </w:p>
    <w:p w14:paraId="193BF81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3、在本合同履行期间，乙方违反本合同或单项服务协议等约定的，甲方有权就违约事宜提出改正，如乙方拒不改正的，甲方有权要求乙方承担人民币20000元的违约金，同时保留单方解除本合同或单项</w:t>
      </w:r>
      <w:r>
        <w:rPr>
          <w:rFonts w:hint="eastAsia" w:ascii="宋体" w:hAnsi="宋体" w:eastAsia="宋体" w:cs="宋体"/>
          <w:color w:val="auto"/>
          <w:szCs w:val="21"/>
          <w:highlight w:val="none"/>
          <w:lang w:bidi="ar"/>
        </w:rPr>
        <w:t>服务协议</w:t>
      </w:r>
      <w:r>
        <w:rPr>
          <w:rFonts w:hint="eastAsia" w:ascii="宋体" w:hAnsi="宋体" w:eastAsia="宋体" w:cs="宋体"/>
          <w:color w:val="auto"/>
          <w:kern w:val="2"/>
          <w:sz w:val="21"/>
          <w:szCs w:val="21"/>
          <w:highlight w:val="none"/>
          <w:lang w:val="en-US" w:eastAsia="zh-CN" w:bidi="ar"/>
        </w:rPr>
        <w:t>的权利。如甲方选择单方解除本合同或单项</w:t>
      </w:r>
      <w:r>
        <w:rPr>
          <w:rFonts w:hint="eastAsia" w:ascii="宋体" w:hAnsi="宋体" w:eastAsia="宋体" w:cs="宋体"/>
          <w:color w:val="auto"/>
          <w:szCs w:val="21"/>
          <w:highlight w:val="none"/>
          <w:lang w:bidi="ar"/>
        </w:rPr>
        <w:t>服务协议</w:t>
      </w:r>
      <w:r>
        <w:rPr>
          <w:rFonts w:hint="eastAsia" w:ascii="宋体" w:hAnsi="宋体" w:eastAsia="宋体" w:cs="宋体"/>
          <w:color w:val="auto"/>
          <w:kern w:val="2"/>
          <w:sz w:val="21"/>
          <w:szCs w:val="21"/>
          <w:highlight w:val="none"/>
          <w:lang w:val="en-US" w:eastAsia="zh-CN" w:bidi="ar"/>
        </w:rPr>
        <w:t>的，乙方还应按具体单项项目相应服务费用的20%向甲方支付违约金。如违约金不足以弥补甲方损失的，甲方有权另行追偿。</w:t>
      </w:r>
    </w:p>
    <w:p w14:paraId="154783B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4、在本合同履行期间，无特殊情况，乙方不得拒绝接受任务，否则，甲方有权单方解除本合同。</w:t>
      </w:r>
    </w:p>
    <w:p w14:paraId="75D1346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对项目成果出现的遗漏或错误，应无条件负责修改或补充。乙方怠于修改、补充或经修订仍不符合甲方要求的，不能通过甲方验收确认的，甲方有权不予支付该项目的咨询费用，并要求乙方支付相当于该项目造价咨询服务费20%的违约金。</w:t>
      </w:r>
    </w:p>
    <w:p w14:paraId="4E0AEAF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6、合同履行期间，乙方存在如下情形之一的，甲方有权书面通知乙方单方解除本合同，取消乙方服务资格，并要求乙方承担人民币</w:t>
      </w:r>
      <w:r>
        <w:rPr>
          <w:rFonts w:hint="eastAsia" w:ascii="宋体" w:hAnsi="宋体" w:eastAsia="宋体" w:cs="宋体"/>
          <w:color w:val="auto"/>
          <w:kern w:val="2"/>
          <w:sz w:val="21"/>
          <w:szCs w:val="21"/>
          <w:highlight w:val="none"/>
          <w:lang w:val="en-US" w:eastAsia="zh-CN" w:bidi="ar"/>
        </w:rPr>
        <w:t>20000</w:t>
      </w:r>
      <w:r>
        <w:rPr>
          <w:rFonts w:hint="eastAsia" w:ascii="宋体" w:hAnsi="宋体" w:eastAsia="宋体" w:cs="宋体"/>
          <w:bCs/>
          <w:color w:val="auto"/>
          <w:kern w:val="2"/>
          <w:sz w:val="21"/>
          <w:szCs w:val="21"/>
          <w:highlight w:val="none"/>
          <w:lang w:val="en-US" w:eastAsia="zh-CN" w:bidi="ar"/>
        </w:rPr>
        <w:t>元的违约金，给甲方造成损失的，乙方还应足额赔偿甲方。甲方有权按相关法律法规追究其相应责任：</w:t>
      </w:r>
    </w:p>
    <w:p w14:paraId="0ACE20E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（1）提供虚假信息、误导或欺骗甲方或相关用户单位，以谋取非法利益的；</w:t>
      </w:r>
    </w:p>
    <w:p w14:paraId="69168D67">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（2）违反诚信信用原则，没有严格执行相关质量、服务和收费标准，损害甲方或相关用户单位的利益的；</w:t>
      </w:r>
    </w:p>
    <w:p w14:paraId="06C7414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（3）违反有关法律法规以及本合同的约定，损害甲方利益的；</w:t>
      </w:r>
    </w:p>
    <w:p w14:paraId="6F32AD4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（4）拒绝接受甲方及相关部门监督、检查的；</w:t>
      </w:r>
    </w:p>
    <w:p w14:paraId="08E2E1C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（5）出现信用危机、财务危机、生产经营危机甚至破产、倒闭，无法继续履行本合同的；</w:t>
      </w:r>
    </w:p>
    <w:p w14:paraId="79B1C87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（6）采用非法手段进行不正当竞争的，构成恶劣影响；</w:t>
      </w:r>
    </w:p>
    <w:p w14:paraId="42A72BA0">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（7）资质被降或者吊销的；</w:t>
      </w:r>
    </w:p>
    <w:p w14:paraId="3C8A640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（8）因违法国家有关法律法规，被相关行政部门或甲方通报的；</w:t>
      </w:r>
    </w:p>
    <w:p w14:paraId="14BD9EE2">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（9）泄露服务项目内容的；</w:t>
      </w:r>
    </w:p>
    <w:p w14:paraId="46F17240">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（10）未经甲方书面同意，将本合同或项下服务合同全部或部分转让给第三方的。</w:t>
      </w:r>
    </w:p>
    <w:p w14:paraId="2B36089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7、乙方因违约所产生的违约金、赔偿金等乙方应支付的所有费用，甲方有权从应付服务费用中直接抵扣。</w:t>
      </w:r>
    </w:p>
    <w:p w14:paraId="18123B4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2" w:firstLineChars="200"/>
        <w:jc w:val="both"/>
        <w:textAlignment w:val="auto"/>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第十一条 合同变更与终止</w:t>
      </w:r>
    </w:p>
    <w:p w14:paraId="2C3E18E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1、一方要求变更或解除合同时，应当至少提前5个工作日通知对方，因变更或解除合同使一方遭受损失的，应由责任方负责赔偿。</w:t>
      </w:r>
    </w:p>
    <w:p w14:paraId="26574AE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2、变更或解除合同的通知或协议应当采取书面形式。</w:t>
      </w:r>
    </w:p>
    <w:p w14:paraId="6CB488D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2" w:firstLineChars="200"/>
        <w:jc w:val="both"/>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第十二条 不可抗力</w:t>
      </w:r>
    </w:p>
    <w:p w14:paraId="2ED082E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76D2DF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2" w:firstLineChars="200"/>
        <w:jc w:val="both"/>
        <w:textAlignment w:val="auto"/>
        <w:outlineLvl w:val="9"/>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第十三条 其他</w:t>
      </w:r>
    </w:p>
    <w:p w14:paraId="29080E9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1、本合同自双方法定代表人或负责人签字并盖章之日起生效。</w:t>
      </w:r>
    </w:p>
    <w:p w14:paraId="3C26154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2、本合同签订前乙方已根据甲方要求开展的造价咨询服务，经甲方审核无误后可纳入本合同约定的服务范围并按本合同约定计算服务费用。</w:t>
      </w:r>
    </w:p>
    <w:p w14:paraId="06A1C67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3、合同期内，甲方可根据委托项目实际情况与乙方签订单项服务协议，合同约定按单项服务协议为准。</w:t>
      </w:r>
    </w:p>
    <w:p w14:paraId="64AF6D0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4、因签订及履行本合同发生的争议，双方应当协商解决；如未能达成一致，可提交有关主管部门调解；协商或调解不成的，任何一方均可向甲方所在地有管辖权的人民法院提起诉讼。</w:t>
      </w:r>
    </w:p>
    <w:p w14:paraId="7678B55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5、本合同仅作为乙方在本合同期限内取得甲方分配具体单项造价项目的资格，但并不代表乙方必然取得具体单项造价项目服务的权利。</w:t>
      </w:r>
    </w:p>
    <w:p w14:paraId="5906AD9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6、本合同如有未尽事宜，由甲、乙双方订立补充协议，补充协议与本合同同具法律效力。</w:t>
      </w:r>
    </w:p>
    <w:p w14:paraId="4FABF78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14:paraId="1C20256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r>
        <w:rPr>
          <w:rFonts w:ascii="宋体" w:hAnsi="宋体" w:eastAsia="宋体" w:cs="宋体"/>
          <w:color w:val="auto"/>
          <w:szCs w:val="21"/>
        </w:rPr>
        <w:t>本合同一式</w:t>
      </w:r>
      <w:r>
        <w:rPr>
          <w:rFonts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份，甲方执</w:t>
      </w:r>
      <w:r>
        <w:rPr>
          <w:rFonts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份，乙方执</w:t>
      </w:r>
      <w:r>
        <w:rPr>
          <w:rFonts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份，招标代理机构执壹份，均具有同等效力。</w:t>
      </w:r>
    </w:p>
    <w:p w14:paraId="78D1048E">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p>
    <w:p w14:paraId="445B21B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22"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附件：</w:t>
      </w:r>
      <w:r>
        <w:rPr>
          <w:rFonts w:hint="eastAsia" w:ascii="宋体" w:hAnsi="宋体" w:eastAsia="宋体" w:cs="宋体"/>
          <w:color w:val="auto"/>
          <w:kern w:val="2"/>
          <w:sz w:val="21"/>
          <w:szCs w:val="21"/>
          <w:highlight w:val="none"/>
          <w:lang w:val="en-US" w:eastAsia="zh-CN" w:bidi="ar"/>
        </w:rPr>
        <w:t>1.《广东省建设工程造价咨询服务收费项目和收费标准表》(粤价函</w:t>
      </w:r>
      <w:r>
        <w:rPr>
          <w:rFonts w:hint="eastAsia" w:ascii="微软雅黑" w:hAnsi="微软雅黑" w:eastAsia="微软雅黑" w:cs="微软雅黑"/>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2011</w:t>
      </w:r>
      <w:r>
        <w:rPr>
          <w:rFonts w:hint="eastAsia" w:ascii="微软雅黑" w:hAnsi="微软雅黑" w:eastAsia="微软雅黑" w:cs="微软雅黑"/>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742号)；2、考核表；3、廉洁协议书；4、用户需求书。</w:t>
      </w:r>
    </w:p>
    <w:p w14:paraId="0922EE9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30" w:firstLineChars="200"/>
        <w:jc w:val="both"/>
        <w:textAlignment w:val="auto"/>
        <w:outlineLvl w:val="9"/>
        <w:rPr>
          <w:rFonts w:hint="eastAsia" w:ascii="宋体" w:hAnsi="宋体" w:eastAsia="宋体" w:cs="宋体"/>
          <w:b/>
          <w:bCs/>
          <w:color w:val="auto"/>
          <w:spacing w:val="2"/>
          <w:kern w:val="2"/>
          <w:sz w:val="21"/>
          <w:szCs w:val="21"/>
          <w:highlight w:val="none"/>
          <w:lang w:val="en-US" w:eastAsia="zh-CN" w:bidi="ar"/>
        </w:rPr>
      </w:pPr>
    </w:p>
    <w:p w14:paraId="63723DA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30" w:firstLineChars="200"/>
        <w:jc w:val="both"/>
        <w:textAlignment w:val="auto"/>
        <w:outlineLvl w:val="9"/>
        <w:rPr>
          <w:rFonts w:hint="eastAsia" w:ascii="宋体" w:hAnsi="宋体" w:eastAsia="宋体" w:cs="宋体"/>
          <w:b/>
          <w:bCs/>
          <w:color w:val="auto"/>
          <w:spacing w:val="2"/>
          <w:kern w:val="2"/>
          <w:sz w:val="21"/>
          <w:szCs w:val="21"/>
          <w:highlight w:val="none"/>
          <w:lang w:val="en-US" w:eastAsia="zh-CN" w:bidi="ar"/>
        </w:rPr>
      </w:pPr>
    </w:p>
    <w:p w14:paraId="1382C4D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30" w:firstLineChars="200"/>
        <w:jc w:val="both"/>
        <w:textAlignment w:val="auto"/>
        <w:outlineLvl w:val="9"/>
        <w:rPr>
          <w:rFonts w:hint="eastAsia" w:ascii="宋体" w:hAnsi="宋体" w:eastAsia="宋体" w:cs="宋体"/>
          <w:b/>
          <w:bCs/>
          <w:color w:val="auto"/>
          <w:spacing w:val="2"/>
          <w:kern w:val="2"/>
          <w:sz w:val="21"/>
          <w:szCs w:val="21"/>
          <w:highlight w:val="none"/>
          <w:lang w:val="en-US" w:eastAsia="zh-CN" w:bidi="ar"/>
        </w:rPr>
      </w:pPr>
    </w:p>
    <w:p w14:paraId="7EB4A87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30" w:firstLineChars="200"/>
        <w:jc w:val="both"/>
        <w:textAlignment w:val="auto"/>
        <w:outlineLvl w:val="9"/>
        <w:rPr>
          <w:rFonts w:hint="eastAsia" w:ascii="宋体" w:hAnsi="宋体" w:eastAsia="宋体" w:cs="宋体"/>
          <w:b/>
          <w:bCs/>
          <w:color w:val="auto"/>
          <w:spacing w:val="2"/>
          <w:kern w:val="2"/>
          <w:sz w:val="21"/>
          <w:szCs w:val="21"/>
          <w:highlight w:val="none"/>
        </w:rPr>
      </w:pPr>
      <w:r>
        <w:rPr>
          <w:rFonts w:hint="eastAsia" w:ascii="宋体" w:hAnsi="宋体" w:eastAsia="宋体" w:cs="宋体"/>
          <w:b/>
          <w:bCs/>
          <w:color w:val="auto"/>
          <w:spacing w:val="2"/>
          <w:kern w:val="2"/>
          <w:sz w:val="21"/>
          <w:szCs w:val="21"/>
          <w:highlight w:val="none"/>
          <w:lang w:val="en-US" w:eastAsia="zh-CN" w:bidi="ar"/>
        </w:rPr>
        <w:t>（以下无正文）</w:t>
      </w:r>
    </w:p>
    <w:p w14:paraId="18AB737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甲方：</w:t>
      </w:r>
      <w:r>
        <w:rPr>
          <w:rFonts w:ascii="宋体" w:hAnsi="宋体" w:eastAsia="宋体" w:cs="宋体"/>
          <w:bCs/>
          <w:color w:val="auto"/>
          <w:szCs w:val="21"/>
        </w:rPr>
        <w:t xml:space="preserve">                                     </w:t>
      </w:r>
      <w:r>
        <w:rPr>
          <w:rFonts w:hint="eastAsia" w:ascii="宋体" w:hAnsi="宋体" w:eastAsia="宋体" w:cs="宋体"/>
          <w:bCs/>
          <w:color w:val="auto"/>
          <w:szCs w:val="21"/>
        </w:rPr>
        <w:t>乙方：</w:t>
      </w:r>
    </w:p>
    <w:p w14:paraId="3FA09EC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bCs/>
          <w:color w:val="auto"/>
          <w:szCs w:val="21"/>
        </w:rPr>
      </w:pPr>
    </w:p>
    <w:p w14:paraId="7BEB47E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法定代表（或</w:t>
      </w:r>
      <w:r>
        <w:rPr>
          <w:rFonts w:ascii="宋体" w:hAnsi="宋体" w:eastAsia="宋体" w:cs="宋体"/>
          <w:bCs/>
          <w:color w:val="auto"/>
          <w:szCs w:val="21"/>
        </w:rPr>
        <w:t>负责）人</w:t>
      </w:r>
      <w:r>
        <w:rPr>
          <w:rFonts w:hint="eastAsia" w:ascii="宋体" w:hAnsi="宋体" w:eastAsia="宋体" w:cs="宋体"/>
          <w:bCs/>
          <w:color w:val="auto"/>
          <w:szCs w:val="21"/>
        </w:rPr>
        <w:t>：</w:t>
      </w:r>
      <w:r>
        <w:rPr>
          <w:rFonts w:ascii="宋体" w:hAnsi="宋体" w:eastAsia="宋体" w:cs="宋体"/>
          <w:bCs/>
          <w:color w:val="auto"/>
          <w:szCs w:val="21"/>
        </w:rPr>
        <w:t xml:space="preserve">                     </w:t>
      </w:r>
      <w:r>
        <w:rPr>
          <w:rFonts w:hint="eastAsia" w:ascii="宋体" w:hAnsi="宋体" w:eastAsia="宋体" w:cs="宋体"/>
          <w:bCs/>
          <w:color w:val="auto"/>
          <w:szCs w:val="21"/>
        </w:rPr>
        <w:t>法定代表（或</w:t>
      </w:r>
      <w:r>
        <w:rPr>
          <w:rFonts w:ascii="宋体" w:hAnsi="宋体" w:eastAsia="宋体" w:cs="宋体"/>
          <w:bCs/>
          <w:color w:val="auto"/>
          <w:szCs w:val="21"/>
        </w:rPr>
        <w:t>负责）人</w:t>
      </w:r>
      <w:r>
        <w:rPr>
          <w:rFonts w:hint="eastAsia" w:ascii="宋体" w:hAnsi="宋体" w:eastAsia="宋体" w:cs="宋体"/>
          <w:bCs/>
          <w:color w:val="auto"/>
          <w:szCs w:val="21"/>
        </w:rPr>
        <w:t>：</w:t>
      </w:r>
    </w:p>
    <w:p w14:paraId="35AEE7D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地址：</w:t>
      </w:r>
      <w:r>
        <w:rPr>
          <w:rFonts w:ascii="宋体" w:hAnsi="宋体" w:eastAsia="宋体" w:cs="宋体"/>
          <w:bCs/>
          <w:color w:val="auto"/>
          <w:szCs w:val="21"/>
        </w:rPr>
        <w:t xml:space="preserve">                                     </w:t>
      </w:r>
      <w:r>
        <w:rPr>
          <w:rFonts w:hint="eastAsia" w:ascii="宋体" w:hAnsi="宋体" w:eastAsia="宋体" w:cs="宋体"/>
          <w:bCs/>
          <w:color w:val="auto"/>
          <w:szCs w:val="21"/>
        </w:rPr>
        <w:t>地址：</w:t>
      </w:r>
    </w:p>
    <w:p w14:paraId="687A9D2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bCs/>
          <w:color w:val="auto"/>
          <w:szCs w:val="21"/>
        </w:rPr>
      </w:pPr>
    </w:p>
    <w:p w14:paraId="00FA9AF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联系电话：</w:t>
      </w:r>
      <w:r>
        <w:rPr>
          <w:rFonts w:ascii="宋体" w:hAnsi="宋体" w:eastAsia="宋体" w:cs="宋体"/>
          <w:bCs/>
          <w:color w:val="auto"/>
          <w:szCs w:val="21"/>
        </w:rPr>
        <w:t xml:space="preserve">                                 </w:t>
      </w:r>
      <w:r>
        <w:rPr>
          <w:rFonts w:hint="eastAsia" w:ascii="宋体" w:hAnsi="宋体" w:eastAsia="宋体" w:cs="宋体"/>
          <w:bCs/>
          <w:color w:val="auto"/>
          <w:szCs w:val="21"/>
        </w:rPr>
        <w:t>联系电话：</w:t>
      </w:r>
    </w:p>
    <w:p w14:paraId="6CB8F98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bCs/>
          <w:color w:val="auto"/>
          <w:szCs w:val="21"/>
        </w:rPr>
      </w:pPr>
    </w:p>
    <w:p w14:paraId="46EBE4F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bCs/>
          <w:color w:val="auto"/>
          <w:szCs w:val="21"/>
        </w:rPr>
      </w:pPr>
      <w:r>
        <w:rPr>
          <w:rFonts w:hint="eastAsia" w:ascii="宋体" w:hAnsi="宋体" w:eastAsia="宋体" w:cs="宋体"/>
          <w:bCs/>
          <w:color w:val="auto"/>
          <w:szCs w:val="21"/>
        </w:rPr>
        <w:t>签订日期：</w:t>
      </w:r>
      <w:r>
        <w:rPr>
          <w:rFonts w:ascii="宋体" w:hAnsi="宋体" w:eastAsia="宋体" w:cs="宋体"/>
          <w:bCs/>
          <w:color w:val="auto"/>
          <w:szCs w:val="21"/>
        </w:rPr>
        <w:t xml:space="preserve">                               </w:t>
      </w:r>
    </w:p>
    <w:p w14:paraId="1ADD462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bCs/>
          <w:color w:val="auto"/>
          <w:szCs w:val="21"/>
        </w:rPr>
      </w:pPr>
    </w:p>
    <w:p w14:paraId="06AF1F1A">
      <w:pPr>
        <w:spacing w:line="360" w:lineRule="auto"/>
        <w:ind w:firstLine="420" w:firstLineChars="200"/>
        <w:outlineLvl w:val="9"/>
        <w:rPr>
          <w:rFonts w:hint="eastAsia"/>
          <w:color w:val="auto"/>
        </w:rPr>
      </w:pPr>
      <w:r>
        <w:rPr>
          <w:rFonts w:ascii="宋体" w:hAnsi="宋体" w:eastAsia="宋体" w:cs="宋体"/>
          <w:bCs/>
          <w:color w:val="auto"/>
          <w:szCs w:val="21"/>
        </w:rPr>
        <w:t>本合同签订于广东省东莞市</w:t>
      </w:r>
    </w:p>
    <w:p w14:paraId="55BF90A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left="0" w:right="0"/>
        <w:jc w:val="both"/>
        <w:textAlignment w:val="auto"/>
        <w:outlineLvl w:val="9"/>
        <w:rPr>
          <w:rFonts w:hint="eastAsia" w:ascii="宋体" w:hAnsi="宋体" w:eastAsia="宋体" w:cs="宋体"/>
          <w:color w:val="auto"/>
          <w:kern w:val="2"/>
          <w:sz w:val="21"/>
          <w:szCs w:val="21"/>
          <w:highlight w:val="none"/>
          <w:lang w:val="en-US" w:eastAsia="zh-CN" w:bidi="ar"/>
        </w:rPr>
        <w:sectPr>
          <w:pgSz w:w="11906" w:h="16838"/>
          <w:pgMar w:top="1440" w:right="866" w:bottom="1440" w:left="960" w:header="851" w:footer="992" w:gutter="0"/>
          <w:cols w:space="0" w:num="1"/>
          <w:titlePg/>
          <w:rtlGutter w:val="0"/>
          <w:docGrid w:type="lines" w:linePitch="312" w:charSpace="0"/>
        </w:sectPr>
      </w:pPr>
    </w:p>
    <w:p w14:paraId="1F2C9AE9">
      <w:pPr>
        <w:pStyle w:val="33"/>
        <w:keepNext w:val="0"/>
        <w:keepLines w:val="0"/>
        <w:widowControl/>
        <w:suppressLineNumbers w:val="0"/>
        <w:tabs>
          <w:tab w:val="left" w:pos="5040"/>
        </w:tabs>
        <w:topLinePunct/>
        <w:autoSpaceDE w:val="0"/>
        <w:autoSpaceDN/>
        <w:adjustRightInd w:val="0"/>
        <w:snapToGrid/>
        <w:spacing w:before="0" w:beforeAutospacing="0" w:after="0" w:afterAutospacing="0" w:line="360" w:lineRule="auto"/>
        <w:ind w:left="23" w:right="0"/>
        <w:jc w:val="both"/>
        <w:textAlignment w:val="baseline"/>
        <w:rPr>
          <w:rFonts w:hint="eastAsia" w:ascii="宋体" w:hAnsi="宋体" w:eastAsia="宋体" w:cs="宋体"/>
          <w:b/>
          <w:bCs/>
          <w:color w:val="auto"/>
          <w:spacing w:val="7"/>
          <w:kern w:val="2"/>
          <w:sz w:val="21"/>
          <w:szCs w:val="21"/>
          <w:highlight w:val="none"/>
          <w:vertAlign w:val="baseline"/>
        </w:rPr>
      </w:pPr>
      <w:r>
        <w:rPr>
          <w:rFonts w:hint="eastAsia" w:ascii="宋体" w:hAnsi="宋体" w:eastAsia="宋体" w:cs="宋体"/>
          <w:b/>
          <w:bCs/>
          <w:color w:val="auto"/>
          <w:spacing w:val="7"/>
          <w:kern w:val="2"/>
          <w:sz w:val="21"/>
          <w:szCs w:val="21"/>
          <w:highlight w:val="none"/>
          <w:vertAlign w:val="baseline"/>
          <w:lang w:val="en-US" w:eastAsia="zh-CN" w:bidi="ar"/>
        </w:rPr>
        <w:t>附件1.</w:t>
      </w:r>
    </w:p>
    <w:p w14:paraId="1E96A43E">
      <w:pPr>
        <w:pStyle w:val="33"/>
        <w:keepNext w:val="0"/>
        <w:keepLines w:val="0"/>
        <w:widowControl/>
        <w:suppressLineNumbers w:val="0"/>
        <w:topLinePunct/>
        <w:autoSpaceDE w:val="0"/>
        <w:autoSpaceDN/>
        <w:adjustRightInd w:val="0"/>
        <w:snapToGrid w:val="0"/>
        <w:spacing w:before="81" w:beforeAutospacing="0" w:after="120" w:afterAutospacing="0"/>
        <w:ind w:left="20" w:right="0"/>
        <w:jc w:val="center"/>
        <w:textAlignment w:val="baseline"/>
        <w:rPr>
          <w:rFonts w:hint="eastAsia" w:ascii="宋体" w:hAnsi="宋体" w:eastAsia="宋体" w:cs="宋体"/>
          <w:b/>
          <w:bCs/>
          <w:color w:val="auto"/>
          <w:spacing w:val="7"/>
          <w:kern w:val="2"/>
          <w:sz w:val="21"/>
          <w:szCs w:val="21"/>
          <w:highlight w:val="none"/>
          <w:vertAlign w:val="baseline"/>
        </w:rPr>
      </w:pPr>
      <w:r>
        <w:rPr>
          <w:rFonts w:hint="eastAsia" w:ascii="宋体" w:hAnsi="宋体" w:eastAsia="宋体" w:cs="宋体"/>
          <w:b/>
          <w:bCs w:val="0"/>
          <w:color w:val="auto"/>
          <w:spacing w:val="0"/>
          <w:kern w:val="2"/>
          <w:sz w:val="28"/>
          <w:szCs w:val="44"/>
          <w:highlight w:val="none"/>
          <w:vertAlign w:val="baseline"/>
          <w:lang w:val="en-US" w:eastAsia="zh-CN" w:bidi="ar"/>
        </w:rPr>
        <w:t>广东省建设工程造价咨询服务收费项目和收费标准表(粤价函(2011)742号)</w:t>
      </w:r>
    </w:p>
    <w:tbl>
      <w:tblPr>
        <w:tblStyle w:val="37"/>
        <w:tblW w:w="5007" w:type="pct"/>
        <w:tblInd w:w="0" w:type="dxa"/>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Layout w:type="autofit"/>
        <w:tblCellMar>
          <w:top w:w="0" w:type="dxa"/>
          <w:left w:w="0" w:type="dxa"/>
          <w:bottom w:w="0" w:type="dxa"/>
          <w:right w:w="0" w:type="dxa"/>
        </w:tblCellMar>
      </w:tblPr>
      <w:tblGrid>
        <w:gridCol w:w="577"/>
        <w:gridCol w:w="445"/>
        <w:gridCol w:w="372"/>
        <w:gridCol w:w="798"/>
        <w:gridCol w:w="2449"/>
        <w:gridCol w:w="1064"/>
        <w:gridCol w:w="1156"/>
        <w:gridCol w:w="1080"/>
        <w:gridCol w:w="1234"/>
        <w:gridCol w:w="1385"/>
        <w:gridCol w:w="1100"/>
        <w:gridCol w:w="1066"/>
        <w:gridCol w:w="1265"/>
      </w:tblGrid>
      <w:tr w14:paraId="6F24ADD9">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390" w:hRule="atLeast"/>
        </w:trPr>
        <w:tc>
          <w:tcPr>
            <w:tcW w:w="206" w:type="pct"/>
            <w:vMerge w:val="restart"/>
            <w:tcBorders>
              <w:top w:val="single" w:color="auto" w:sz="4" w:space="0"/>
              <w:left w:val="single" w:color="auto" w:sz="4" w:space="0"/>
              <w:bottom w:val="single" w:color="auto" w:sz="4" w:space="0"/>
              <w:right w:val="single" w:color="auto" w:sz="4" w:space="0"/>
            </w:tcBorders>
            <w:vAlign w:val="center"/>
          </w:tcPr>
          <w:p w14:paraId="236A96F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577" w:type="pct"/>
            <w:gridSpan w:val="3"/>
            <w:vMerge w:val="restart"/>
            <w:tcBorders>
              <w:top w:val="single" w:color="auto" w:sz="4" w:space="0"/>
              <w:left w:val="single" w:color="auto" w:sz="4" w:space="0"/>
              <w:bottom w:val="single" w:color="auto" w:sz="4" w:space="0"/>
              <w:right w:val="single" w:color="auto" w:sz="4" w:space="0"/>
            </w:tcBorders>
            <w:vAlign w:val="center"/>
          </w:tcPr>
          <w:p w14:paraId="7A02775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咨 询 项 目 名 称</w:t>
            </w:r>
          </w:p>
        </w:tc>
        <w:tc>
          <w:tcPr>
            <w:tcW w:w="875" w:type="pct"/>
            <w:vMerge w:val="restart"/>
            <w:tcBorders>
              <w:top w:val="inset" w:color="333333" w:sz="6" w:space="0"/>
              <w:left w:val="single" w:color="auto" w:sz="4" w:space="0"/>
              <w:bottom w:val="inset" w:color="333333" w:sz="6" w:space="0"/>
              <w:right w:val="inset" w:color="333333" w:sz="6" w:space="0"/>
            </w:tcBorders>
            <w:vAlign w:val="center"/>
          </w:tcPr>
          <w:p w14:paraId="3551DE9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服务内容</w:t>
            </w:r>
          </w:p>
        </w:tc>
        <w:tc>
          <w:tcPr>
            <w:tcW w:w="380" w:type="pct"/>
            <w:vMerge w:val="restart"/>
            <w:tcBorders>
              <w:top w:val="inset" w:color="333333" w:sz="6" w:space="0"/>
              <w:left w:val="nil"/>
              <w:bottom w:val="inset" w:color="333333" w:sz="6" w:space="0"/>
              <w:right w:val="inset" w:color="333333" w:sz="6" w:space="0"/>
            </w:tcBorders>
            <w:vAlign w:val="center"/>
          </w:tcPr>
          <w:p w14:paraId="1087965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收 费 基 数</w:t>
            </w:r>
          </w:p>
        </w:tc>
        <w:tc>
          <w:tcPr>
            <w:tcW w:w="2507" w:type="pct"/>
            <w:gridSpan w:val="6"/>
            <w:tcBorders>
              <w:top w:val="inset" w:color="333333" w:sz="6" w:space="0"/>
              <w:left w:val="nil"/>
              <w:bottom w:val="inset" w:color="333333" w:sz="6" w:space="0"/>
              <w:right w:val="inset" w:color="333333" w:sz="6" w:space="0"/>
            </w:tcBorders>
            <w:vAlign w:val="center"/>
          </w:tcPr>
          <w:p w14:paraId="1191C38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最高收费标准</w:t>
            </w:r>
          </w:p>
        </w:tc>
        <w:tc>
          <w:tcPr>
            <w:tcW w:w="452" w:type="pct"/>
            <w:vMerge w:val="restart"/>
            <w:tcBorders>
              <w:top w:val="inset" w:color="333333" w:sz="6" w:space="0"/>
              <w:left w:val="nil"/>
              <w:bottom w:val="inset" w:color="333333" w:sz="6" w:space="0"/>
              <w:right w:val="inset" w:color="333333" w:sz="6" w:space="0"/>
            </w:tcBorders>
            <w:vAlign w:val="center"/>
          </w:tcPr>
          <w:p w14:paraId="6A83762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备注</w:t>
            </w:r>
          </w:p>
        </w:tc>
      </w:tr>
      <w:tr w14:paraId="704D4BF8">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444" w:hRule="atLeast"/>
        </w:trPr>
        <w:tc>
          <w:tcPr>
            <w:tcW w:w="206" w:type="pct"/>
            <w:vMerge w:val="continue"/>
            <w:tcBorders>
              <w:top w:val="single" w:color="auto" w:sz="4" w:space="0"/>
              <w:left w:val="single" w:color="auto" w:sz="4" w:space="0"/>
              <w:bottom w:val="single" w:color="auto" w:sz="4" w:space="0"/>
              <w:right w:val="single" w:color="auto" w:sz="4" w:space="0"/>
            </w:tcBorders>
            <w:vAlign w:val="center"/>
          </w:tcPr>
          <w:p w14:paraId="18ECEA9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577" w:type="pct"/>
            <w:gridSpan w:val="3"/>
            <w:vMerge w:val="continue"/>
            <w:tcBorders>
              <w:top w:val="single" w:color="auto" w:sz="4" w:space="0"/>
              <w:left w:val="single" w:color="auto" w:sz="4" w:space="0"/>
              <w:bottom w:val="single" w:color="auto" w:sz="4" w:space="0"/>
              <w:right w:val="single" w:color="auto" w:sz="4" w:space="0"/>
            </w:tcBorders>
            <w:vAlign w:val="center"/>
          </w:tcPr>
          <w:p w14:paraId="70FEA64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875" w:type="pct"/>
            <w:vMerge w:val="continue"/>
            <w:tcBorders>
              <w:top w:val="inset" w:color="333333" w:sz="6" w:space="0"/>
              <w:left w:val="single" w:color="auto" w:sz="4" w:space="0"/>
              <w:bottom w:val="inset" w:color="333333" w:sz="6" w:space="0"/>
              <w:right w:val="inset" w:color="333333" w:sz="6" w:space="0"/>
            </w:tcBorders>
            <w:vAlign w:val="center"/>
          </w:tcPr>
          <w:p w14:paraId="671EC10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380" w:type="pct"/>
            <w:vMerge w:val="continue"/>
            <w:tcBorders>
              <w:top w:val="inset" w:color="333333" w:sz="6" w:space="0"/>
              <w:left w:val="nil"/>
              <w:bottom w:val="inset" w:color="333333" w:sz="6" w:space="0"/>
              <w:right w:val="inset" w:color="333333" w:sz="6" w:space="0"/>
            </w:tcBorders>
            <w:vAlign w:val="center"/>
          </w:tcPr>
          <w:p w14:paraId="2587685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c>
          <w:tcPr>
            <w:tcW w:w="413" w:type="pct"/>
            <w:tcBorders>
              <w:top w:val="inset" w:color="333333" w:sz="6" w:space="0"/>
              <w:left w:val="nil"/>
              <w:bottom w:val="inset" w:color="333333" w:sz="6" w:space="0"/>
              <w:right w:val="inset" w:color="333333" w:sz="6" w:space="0"/>
            </w:tcBorders>
            <w:vAlign w:val="center"/>
          </w:tcPr>
          <w:p w14:paraId="3C96CE1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100万元以内</w:t>
            </w:r>
          </w:p>
        </w:tc>
        <w:tc>
          <w:tcPr>
            <w:tcW w:w="386" w:type="pct"/>
            <w:tcBorders>
              <w:top w:val="inset" w:color="333333" w:sz="6" w:space="0"/>
              <w:left w:val="nil"/>
              <w:bottom w:val="inset" w:color="333333" w:sz="6" w:space="0"/>
              <w:right w:val="inset" w:color="333333" w:sz="6" w:space="0"/>
            </w:tcBorders>
            <w:vAlign w:val="center"/>
          </w:tcPr>
          <w:p w14:paraId="54777FF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101-500</w:t>
            </w:r>
          </w:p>
          <w:p w14:paraId="38AE1228">
            <w:pPr>
              <w:pStyle w:val="18"/>
              <w:rPr>
                <w:rFonts w:hint="eastAsia"/>
                <w:color w:val="auto"/>
                <w:lang w:eastAsia="zh-CN"/>
              </w:rPr>
            </w:pPr>
          </w:p>
          <w:p w14:paraId="36C5DBA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万元</w:t>
            </w:r>
          </w:p>
        </w:tc>
        <w:tc>
          <w:tcPr>
            <w:tcW w:w="441" w:type="pct"/>
            <w:tcBorders>
              <w:top w:val="inset" w:color="333333" w:sz="6" w:space="0"/>
              <w:left w:val="nil"/>
              <w:bottom w:val="inset" w:color="333333" w:sz="6" w:space="0"/>
              <w:right w:val="inset" w:color="333333" w:sz="6" w:space="0"/>
            </w:tcBorders>
            <w:vAlign w:val="center"/>
          </w:tcPr>
          <w:p w14:paraId="21F77B2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501-1000</w:t>
            </w:r>
          </w:p>
          <w:p w14:paraId="51415A79">
            <w:pPr>
              <w:pStyle w:val="18"/>
              <w:rPr>
                <w:rFonts w:hint="eastAsia"/>
                <w:color w:val="auto"/>
                <w:lang w:eastAsia="zh-CN"/>
              </w:rPr>
            </w:pPr>
          </w:p>
          <w:p w14:paraId="301C315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万元</w:t>
            </w:r>
          </w:p>
        </w:tc>
        <w:tc>
          <w:tcPr>
            <w:tcW w:w="495" w:type="pct"/>
            <w:tcBorders>
              <w:top w:val="inset" w:color="333333" w:sz="6" w:space="0"/>
              <w:left w:val="nil"/>
              <w:bottom w:val="inset" w:color="333333" w:sz="6" w:space="0"/>
              <w:right w:val="inset" w:color="333333" w:sz="6" w:space="0"/>
            </w:tcBorders>
            <w:vAlign w:val="center"/>
          </w:tcPr>
          <w:p w14:paraId="78512E3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1001-5000</w:t>
            </w:r>
          </w:p>
          <w:p w14:paraId="786A1E3B">
            <w:pPr>
              <w:pStyle w:val="18"/>
              <w:rPr>
                <w:rFonts w:hint="eastAsia"/>
                <w:color w:val="auto"/>
                <w:lang w:eastAsia="zh-CN"/>
              </w:rPr>
            </w:pPr>
          </w:p>
          <w:p w14:paraId="30D8E7C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万元</w:t>
            </w:r>
          </w:p>
        </w:tc>
        <w:tc>
          <w:tcPr>
            <w:tcW w:w="393" w:type="pct"/>
            <w:tcBorders>
              <w:top w:val="inset" w:color="333333" w:sz="6" w:space="0"/>
              <w:left w:val="nil"/>
              <w:bottom w:val="inset" w:color="333333" w:sz="6" w:space="0"/>
              <w:right w:val="inset" w:color="333333" w:sz="6" w:space="0"/>
            </w:tcBorders>
            <w:vAlign w:val="center"/>
          </w:tcPr>
          <w:p w14:paraId="0EF8C93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5001万元-1</w:t>
            </w:r>
          </w:p>
          <w:p w14:paraId="737B0EC7">
            <w:pPr>
              <w:pStyle w:val="18"/>
              <w:rPr>
                <w:rFonts w:hint="eastAsia"/>
                <w:color w:val="auto"/>
                <w:lang w:eastAsia="zh-CN"/>
              </w:rPr>
            </w:pPr>
          </w:p>
          <w:p w14:paraId="3789C6D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亿元</w:t>
            </w:r>
          </w:p>
        </w:tc>
        <w:tc>
          <w:tcPr>
            <w:tcW w:w="379" w:type="pct"/>
            <w:tcBorders>
              <w:top w:val="inset" w:color="333333" w:sz="6" w:space="0"/>
              <w:left w:val="nil"/>
              <w:bottom w:val="inset" w:color="333333" w:sz="6" w:space="0"/>
              <w:right w:val="inset" w:color="333333" w:sz="6" w:space="0"/>
            </w:tcBorders>
            <w:vAlign w:val="center"/>
          </w:tcPr>
          <w:p w14:paraId="05B3749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1亿元以上</w:t>
            </w:r>
          </w:p>
        </w:tc>
        <w:tc>
          <w:tcPr>
            <w:tcW w:w="452" w:type="pct"/>
            <w:vMerge w:val="continue"/>
            <w:tcBorders>
              <w:top w:val="inset" w:color="333333" w:sz="6" w:space="0"/>
              <w:left w:val="nil"/>
              <w:bottom w:val="inset" w:color="333333" w:sz="6" w:space="0"/>
              <w:right w:val="inset" w:color="333333" w:sz="6" w:space="0"/>
            </w:tcBorders>
            <w:vAlign w:val="center"/>
          </w:tcPr>
          <w:p w14:paraId="433E517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auto"/>
                <w:spacing w:val="0"/>
                <w:kern w:val="2"/>
                <w:sz w:val="21"/>
                <w:szCs w:val="21"/>
                <w:highlight w:val="none"/>
              </w:rPr>
            </w:pPr>
          </w:p>
        </w:tc>
      </w:tr>
      <w:tr w14:paraId="6FA78F98">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065" w:hRule="atLeast"/>
        </w:trPr>
        <w:tc>
          <w:tcPr>
            <w:tcW w:w="206" w:type="pct"/>
            <w:tcBorders>
              <w:top w:val="single" w:color="auto" w:sz="4" w:space="0"/>
              <w:left w:val="inset" w:color="333333" w:sz="6" w:space="0"/>
              <w:bottom w:val="inset" w:color="333333" w:sz="6" w:space="0"/>
              <w:right w:val="inset" w:color="333333" w:sz="6" w:space="0"/>
            </w:tcBorders>
            <w:vAlign w:val="center"/>
          </w:tcPr>
          <w:p w14:paraId="6A0FDAC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577" w:type="pct"/>
            <w:gridSpan w:val="3"/>
            <w:tcBorders>
              <w:top w:val="single" w:color="auto" w:sz="4" w:space="0"/>
              <w:left w:val="nil"/>
              <w:bottom w:val="inset" w:color="333333" w:sz="6" w:space="0"/>
              <w:right w:val="inset" w:color="333333" w:sz="6" w:space="0"/>
            </w:tcBorders>
            <w:vAlign w:val="center"/>
          </w:tcPr>
          <w:p w14:paraId="0733B61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投资估算的编制或审核</w:t>
            </w:r>
          </w:p>
        </w:tc>
        <w:tc>
          <w:tcPr>
            <w:tcW w:w="875" w:type="pct"/>
            <w:tcBorders>
              <w:top w:val="inset" w:color="333333" w:sz="6" w:space="0"/>
              <w:left w:val="nil"/>
              <w:bottom w:val="inset" w:color="333333" w:sz="6" w:space="0"/>
              <w:right w:val="inset" w:color="333333" w:sz="6" w:space="0"/>
            </w:tcBorders>
            <w:vAlign w:val="center"/>
          </w:tcPr>
          <w:p w14:paraId="7CF4B8C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依据建设项目可行性研究方案编制或核对项目投资估算，出具投资估算报告或审核报告</w:t>
            </w:r>
          </w:p>
        </w:tc>
        <w:tc>
          <w:tcPr>
            <w:tcW w:w="380" w:type="pct"/>
            <w:tcBorders>
              <w:top w:val="inset" w:color="333333" w:sz="6" w:space="0"/>
              <w:left w:val="nil"/>
              <w:bottom w:val="inset" w:color="333333" w:sz="6" w:space="0"/>
              <w:right w:val="inset" w:color="333333" w:sz="6" w:space="0"/>
            </w:tcBorders>
            <w:vAlign w:val="center"/>
          </w:tcPr>
          <w:p w14:paraId="49C261A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估算价</w:t>
            </w:r>
          </w:p>
        </w:tc>
        <w:tc>
          <w:tcPr>
            <w:tcW w:w="413" w:type="pct"/>
            <w:tcBorders>
              <w:top w:val="inset" w:color="333333" w:sz="6" w:space="0"/>
              <w:left w:val="nil"/>
              <w:bottom w:val="inset" w:color="333333" w:sz="6" w:space="0"/>
              <w:right w:val="inset" w:color="333333" w:sz="6" w:space="0"/>
            </w:tcBorders>
            <w:vAlign w:val="center"/>
          </w:tcPr>
          <w:p w14:paraId="4AEAE58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w:t>
            </w:r>
          </w:p>
        </w:tc>
        <w:tc>
          <w:tcPr>
            <w:tcW w:w="386" w:type="pct"/>
            <w:tcBorders>
              <w:top w:val="inset" w:color="333333" w:sz="6" w:space="0"/>
              <w:left w:val="nil"/>
              <w:bottom w:val="inset" w:color="333333" w:sz="6" w:space="0"/>
              <w:right w:val="inset" w:color="333333" w:sz="6" w:space="0"/>
            </w:tcBorders>
            <w:vAlign w:val="center"/>
          </w:tcPr>
          <w:p w14:paraId="5705403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w:t>
            </w:r>
          </w:p>
        </w:tc>
        <w:tc>
          <w:tcPr>
            <w:tcW w:w="441" w:type="pct"/>
            <w:tcBorders>
              <w:top w:val="inset" w:color="333333" w:sz="6" w:space="0"/>
              <w:left w:val="nil"/>
              <w:bottom w:val="inset" w:color="333333" w:sz="6" w:space="0"/>
              <w:right w:val="inset" w:color="333333" w:sz="6" w:space="0"/>
            </w:tcBorders>
            <w:vAlign w:val="center"/>
          </w:tcPr>
          <w:p w14:paraId="2D0A27F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0.9‰</w:t>
            </w:r>
          </w:p>
        </w:tc>
        <w:tc>
          <w:tcPr>
            <w:tcW w:w="495" w:type="pct"/>
            <w:tcBorders>
              <w:top w:val="inset" w:color="333333" w:sz="6" w:space="0"/>
              <w:left w:val="nil"/>
              <w:bottom w:val="inset" w:color="333333" w:sz="6" w:space="0"/>
              <w:right w:val="inset" w:color="333333" w:sz="6" w:space="0"/>
            </w:tcBorders>
            <w:vAlign w:val="center"/>
          </w:tcPr>
          <w:p w14:paraId="1D738E2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0.7‰</w:t>
            </w:r>
          </w:p>
        </w:tc>
        <w:tc>
          <w:tcPr>
            <w:tcW w:w="393" w:type="pct"/>
            <w:tcBorders>
              <w:top w:val="inset" w:color="333333" w:sz="6" w:space="0"/>
              <w:left w:val="nil"/>
              <w:bottom w:val="inset" w:color="333333" w:sz="6" w:space="0"/>
              <w:right w:val="inset" w:color="333333" w:sz="6" w:space="0"/>
            </w:tcBorders>
            <w:vAlign w:val="center"/>
          </w:tcPr>
          <w:p w14:paraId="6DCA465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0.5‰</w:t>
            </w:r>
          </w:p>
        </w:tc>
        <w:tc>
          <w:tcPr>
            <w:tcW w:w="379" w:type="pct"/>
            <w:tcBorders>
              <w:top w:val="inset" w:color="333333" w:sz="6" w:space="0"/>
              <w:left w:val="nil"/>
              <w:bottom w:val="inset" w:color="333333" w:sz="6" w:space="0"/>
              <w:right w:val="inset" w:color="333333" w:sz="6" w:space="0"/>
            </w:tcBorders>
            <w:vAlign w:val="center"/>
          </w:tcPr>
          <w:p w14:paraId="3304583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0.4‰</w:t>
            </w:r>
          </w:p>
        </w:tc>
        <w:tc>
          <w:tcPr>
            <w:tcW w:w="452" w:type="pct"/>
            <w:tcBorders>
              <w:top w:val="inset" w:color="333333" w:sz="6" w:space="0"/>
              <w:left w:val="nil"/>
              <w:bottom w:val="inset" w:color="333333" w:sz="6" w:space="0"/>
              <w:right w:val="inset" w:color="333333" w:sz="6" w:space="0"/>
            </w:tcBorders>
            <w:vAlign w:val="center"/>
          </w:tcPr>
          <w:p w14:paraId="6B84FF3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2E330516">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78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41E89F6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577" w:type="pct"/>
            <w:gridSpan w:val="3"/>
            <w:tcBorders>
              <w:top w:val="inset" w:color="333333" w:sz="6" w:space="0"/>
              <w:left w:val="nil"/>
              <w:bottom w:val="inset" w:color="333333" w:sz="6" w:space="0"/>
              <w:right w:val="inset" w:color="333333" w:sz="6" w:space="0"/>
            </w:tcBorders>
            <w:vAlign w:val="center"/>
          </w:tcPr>
          <w:p w14:paraId="6F7BAD4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工程概算的编制或审核</w:t>
            </w:r>
          </w:p>
        </w:tc>
        <w:tc>
          <w:tcPr>
            <w:tcW w:w="875" w:type="pct"/>
            <w:tcBorders>
              <w:top w:val="inset" w:color="333333" w:sz="6" w:space="0"/>
              <w:left w:val="nil"/>
              <w:bottom w:val="inset" w:color="333333" w:sz="6" w:space="0"/>
              <w:right w:val="inset" w:color="333333" w:sz="6" w:space="0"/>
            </w:tcBorders>
            <w:vAlign w:val="center"/>
          </w:tcPr>
          <w:p w14:paraId="3DD3026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依据初步设计图纸计算或复核工程量，出具工程概算书或审核报告</w:t>
            </w:r>
          </w:p>
        </w:tc>
        <w:tc>
          <w:tcPr>
            <w:tcW w:w="380" w:type="pct"/>
            <w:tcBorders>
              <w:top w:val="inset" w:color="333333" w:sz="6" w:space="0"/>
              <w:left w:val="nil"/>
              <w:bottom w:val="inset" w:color="333333" w:sz="6" w:space="0"/>
              <w:right w:val="inset" w:color="333333" w:sz="6" w:space="0"/>
            </w:tcBorders>
            <w:vAlign w:val="center"/>
          </w:tcPr>
          <w:p w14:paraId="5176064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概算价</w:t>
            </w:r>
          </w:p>
        </w:tc>
        <w:tc>
          <w:tcPr>
            <w:tcW w:w="413" w:type="pct"/>
            <w:tcBorders>
              <w:top w:val="inset" w:color="333333" w:sz="6" w:space="0"/>
              <w:left w:val="nil"/>
              <w:bottom w:val="inset" w:color="333333" w:sz="6" w:space="0"/>
              <w:right w:val="inset" w:color="333333" w:sz="6" w:space="0"/>
            </w:tcBorders>
            <w:vAlign w:val="center"/>
          </w:tcPr>
          <w:p w14:paraId="287ADE5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386" w:type="pct"/>
            <w:tcBorders>
              <w:top w:val="inset" w:color="333333" w:sz="6" w:space="0"/>
              <w:left w:val="nil"/>
              <w:bottom w:val="inset" w:color="333333" w:sz="6" w:space="0"/>
              <w:right w:val="inset" w:color="333333" w:sz="6" w:space="0"/>
            </w:tcBorders>
            <w:vAlign w:val="center"/>
          </w:tcPr>
          <w:p w14:paraId="3B63746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w:t>
            </w:r>
          </w:p>
        </w:tc>
        <w:tc>
          <w:tcPr>
            <w:tcW w:w="441" w:type="pct"/>
            <w:tcBorders>
              <w:top w:val="inset" w:color="333333" w:sz="6" w:space="0"/>
              <w:left w:val="nil"/>
              <w:bottom w:val="inset" w:color="333333" w:sz="6" w:space="0"/>
              <w:right w:val="inset" w:color="333333" w:sz="6" w:space="0"/>
            </w:tcBorders>
            <w:vAlign w:val="center"/>
          </w:tcPr>
          <w:p w14:paraId="5737FFA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w:t>
            </w:r>
          </w:p>
        </w:tc>
        <w:tc>
          <w:tcPr>
            <w:tcW w:w="495" w:type="pct"/>
            <w:tcBorders>
              <w:top w:val="inset" w:color="333333" w:sz="6" w:space="0"/>
              <w:left w:val="nil"/>
              <w:bottom w:val="inset" w:color="333333" w:sz="6" w:space="0"/>
              <w:right w:val="inset" w:color="333333" w:sz="6" w:space="0"/>
            </w:tcBorders>
            <w:vAlign w:val="center"/>
          </w:tcPr>
          <w:p w14:paraId="6D4E220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w:t>
            </w:r>
          </w:p>
        </w:tc>
        <w:tc>
          <w:tcPr>
            <w:tcW w:w="393" w:type="pct"/>
            <w:tcBorders>
              <w:top w:val="inset" w:color="333333" w:sz="6" w:space="0"/>
              <w:left w:val="nil"/>
              <w:bottom w:val="inset" w:color="333333" w:sz="6" w:space="0"/>
              <w:right w:val="inset" w:color="333333" w:sz="6" w:space="0"/>
            </w:tcBorders>
            <w:vAlign w:val="center"/>
          </w:tcPr>
          <w:p w14:paraId="19D1729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79" w:type="pct"/>
            <w:tcBorders>
              <w:top w:val="inset" w:color="333333" w:sz="6" w:space="0"/>
              <w:left w:val="nil"/>
              <w:bottom w:val="inset" w:color="333333" w:sz="6" w:space="0"/>
              <w:right w:val="inset" w:color="333333" w:sz="6" w:space="0"/>
            </w:tcBorders>
            <w:vAlign w:val="center"/>
          </w:tcPr>
          <w:p w14:paraId="661C814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w:t>
            </w:r>
          </w:p>
        </w:tc>
        <w:tc>
          <w:tcPr>
            <w:tcW w:w="452" w:type="pct"/>
            <w:tcBorders>
              <w:top w:val="inset" w:color="333333" w:sz="6" w:space="0"/>
              <w:left w:val="nil"/>
              <w:bottom w:val="inset" w:color="333333" w:sz="6" w:space="0"/>
              <w:right w:val="inset" w:color="333333" w:sz="6" w:space="0"/>
            </w:tcBorders>
            <w:vAlign w:val="center"/>
          </w:tcPr>
          <w:p w14:paraId="1DC4E89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7988DEC2">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810" w:hRule="atLeast"/>
        </w:trPr>
        <w:tc>
          <w:tcPr>
            <w:tcW w:w="206" w:type="pct"/>
            <w:vMerge w:val="restart"/>
            <w:tcBorders>
              <w:top w:val="nil"/>
              <w:left w:val="inset" w:color="333333" w:sz="6" w:space="0"/>
              <w:bottom w:val="inset" w:color="333333" w:sz="6" w:space="0"/>
              <w:right w:val="inset" w:color="333333" w:sz="6" w:space="0"/>
            </w:tcBorders>
            <w:vAlign w:val="center"/>
          </w:tcPr>
          <w:p w14:paraId="3482EFD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59" w:type="pct"/>
            <w:vMerge w:val="restart"/>
            <w:tcBorders>
              <w:top w:val="nil"/>
              <w:left w:val="nil"/>
              <w:bottom w:val="inset" w:color="333333" w:sz="6" w:space="0"/>
              <w:right w:val="inset" w:color="333333" w:sz="6" w:space="0"/>
            </w:tcBorders>
            <w:vAlign w:val="center"/>
          </w:tcPr>
          <w:p w14:paraId="2D00B67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工程预算的编制或审核</w:t>
            </w:r>
          </w:p>
        </w:tc>
        <w:tc>
          <w:tcPr>
            <w:tcW w:w="133" w:type="pct"/>
            <w:vMerge w:val="restart"/>
            <w:tcBorders>
              <w:top w:val="nil"/>
              <w:left w:val="nil"/>
              <w:bottom w:val="inset" w:color="333333" w:sz="6" w:space="0"/>
              <w:right w:val="inset" w:color="333333" w:sz="6" w:space="0"/>
            </w:tcBorders>
            <w:vAlign w:val="center"/>
          </w:tcPr>
          <w:p w14:paraId="1B57911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清单计价法</w:t>
            </w:r>
          </w:p>
        </w:tc>
        <w:tc>
          <w:tcPr>
            <w:tcW w:w="285" w:type="pct"/>
            <w:tcBorders>
              <w:top w:val="inset" w:color="333333" w:sz="6" w:space="0"/>
              <w:left w:val="nil"/>
              <w:bottom w:val="inset" w:color="333333" w:sz="6" w:space="0"/>
              <w:right w:val="inset" w:color="333333" w:sz="6" w:space="0"/>
            </w:tcBorders>
            <w:vAlign w:val="center"/>
          </w:tcPr>
          <w:p w14:paraId="2552B1D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单独编制或审核工程量清单</w:t>
            </w:r>
          </w:p>
        </w:tc>
        <w:tc>
          <w:tcPr>
            <w:tcW w:w="875" w:type="pct"/>
            <w:tcBorders>
              <w:top w:val="inset" w:color="333333" w:sz="6" w:space="0"/>
              <w:left w:val="nil"/>
              <w:bottom w:val="inset" w:color="333333" w:sz="6" w:space="0"/>
              <w:right w:val="inset" w:color="333333" w:sz="6" w:space="0"/>
            </w:tcBorders>
            <w:vAlign w:val="center"/>
          </w:tcPr>
          <w:p w14:paraId="2CF90E8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依据施工图编制或审核工程量清单，出具工程量清单书或审核报告</w:t>
            </w:r>
          </w:p>
        </w:tc>
        <w:tc>
          <w:tcPr>
            <w:tcW w:w="380" w:type="pct"/>
            <w:tcBorders>
              <w:top w:val="inset" w:color="333333" w:sz="6" w:space="0"/>
              <w:left w:val="nil"/>
              <w:bottom w:val="inset" w:color="333333" w:sz="6" w:space="0"/>
              <w:right w:val="inset" w:color="333333" w:sz="6" w:space="0"/>
            </w:tcBorders>
            <w:vAlign w:val="center"/>
          </w:tcPr>
          <w:p w14:paraId="3B4BC05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预算造价（预算价、招标控制价）</w:t>
            </w:r>
          </w:p>
        </w:tc>
        <w:tc>
          <w:tcPr>
            <w:tcW w:w="413" w:type="pct"/>
            <w:tcBorders>
              <w:top w:val="inset" w:color="333333" w:sz="6" w:space="0"/>
              <w:left w:val="nil"/>
              <w:bottom w:val="inset" w:color="333333" w:sz="6" w:space="0"/>
              <w:right w:val="inset" w:color="333333" w:sz="6" w:space="0"/>
            </w:tcBorders>
            <w:vAlign w:val="center"/>
          </w:tcPr>
          <w:p w14:paraId="129072B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386" w:type="pct"/>
            <w:tcBorders>
              <w:top w:val="inset" w:color="333333" w:sz="6" w:space="0"/>
              <w:left w:val="nil"/>
              <w:bottom w:val="inset" w:color="333333" w:sz="6" w:space="0"/>
              <w:right w:val="inset" w:color="333333" w:sz="6" w:space="0"/>
            </w:tcBorders>
            <w:vAlign w:val="center"/>
          </w:tcPr>
          <w:p w14:paraId="4A98243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w:t>
            </w:r>
          </w:p>
        </w:tc>
        <w:tc>
          <w:tcPr>
            <w:tcW w:w="441" w:type="pct"/>
            <w:tcBorders>
              <w:top w:val="inset" w:color="333333" w:sz="6" w:space="0"/>
              <w:left w:val="nil"/>
              <w:bottom w:val="inset" w:color="333333" w:sz="6" w:space="0"/>
              <w:right w:val="inset" w:color="333333" w:sz="6" w:space="0"/>
            </w:tcBorders>
            <w:vAlign w:val="center"/>
          </w:tcPr>
          <w:p w14:paraId="3CDDA26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w:t>
            </w:r>
          </w:p>
        </w:tc>
        <w:tc>
          <w:tcPr>
            <w:tcW w:w="495" w:type="pct"/>
            <w:tcBorders>
              <w:top w:val="inset" w:color="333333" w:sz="6" w:space="0"/>
              <w:left w:val="nil"/>
              <w:bottom w:val="inset" w:color="333333" w:sz="6" w:space="0"/>
              <w:right w:val="inset" w:color="333333" w:sz="6" w:space="0"/>
            </w:tcBorders>
            <w:vAlign w:val="center"/>
          </w:tcPr>
          <w:p w14:paraId="7C2A46E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w:t>
            </w:r>
          </w:p>
        </w:tc>
        <w:tc>
          <w:tcPr>
            <w:tcW w:w="393" w:type="pct"/>
            <w:tcBorders>
              <w:top w:val="inset" w:color="333333" w:sz="6" w:space="0"/>
              <w:left w:val="nil"/>
              <w:bottom w:val="inset" w:color="333333" w:sz="6" w:space="0"/>
              <w:right w:val="inset" w:color="333333" w:sz="6" w:space="0"/>
            </w:tcBorders>
            <w:vAlign w:val="center"/>
          </w:tcPr>
          <w:p w14:paraId="086506F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379" w:type="pct"/>
            <w:tcBorders>
              <w:top w:val="inset" w:color="333333" w:sz="6" w:space="0"/>
              <w:left w:val="nil"/>
              <w:bottom w:val="inset" w:color="333333" w:sz="6" w:space="0"/>
              <w:right w:val="inset" w:color="333333" w:sz="6" w:space="0"/>
            </w:tcBorders>
            <w:vAlign w:val="center"/>
          </w:tcPr>
          <w:p w14:paraId="58C98A0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w:t>
            </w:r>
          </w:p>
        </w:tc>
        <w:tc>
          <w:tcPr>
            <w:tcW w:w="452" w:type="pct"/>
            <w:tcBorders>
              <w:top w:val="inset" w:color="333333" w:sz="6" w:space="0"/>
              <w:left w:val="nil"/>
              <w:bottom w:val="inset" w:color="333333" w:sz="6" w:space="0"/>
              <w:right w:val="inset" w:color="333333" w:sz="6" w:space="0"/>
            </w:tcBorders>
            <w:vAlign w:val="center"/>
          </w:tcPr>
          <w:p w14:paraId="754A036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6D679BEE">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870" w:hRule="atLeast"/>
        </w:trPr>
        <w:tc>
          <w:tcPr>
            <w:tcW w:w="206" w:type="pct"/>
            <w:vMerge w:val="continue"/>
            <w:tcBorders>
              <w:top w:val="nil"/>
              <w:left w:val="inset" w:color="333333" w:sz="6" w:space="0"/>
              <w:bottom w:val="inset" w:color="333333" w:sz="6" w:space="0"/>
              <w:right w:val="inset" w:color="333333" w:sz="6" w:space="0"/>
            </w:tcBorders>
            <w:vAlign w:val="center"/>
          </w:tcPr>
          <w:p w14:paraId="105EA10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59" w:type="pct"/>
            <w:vMerge w:val="continue"/>
            <w:tcBorders>
              <w:top w:val="nil"/>
              <w:left w:val="nil"/>
              <w:bottom w:val="inset" w:color="333333" w:sz="6" w:space="0"/>
              <w:right w:val="inset" w:color="333333" w:sz="6" w:space="0"/>
            </w:tcBorders>
            <w:vAlign w:val="center"/>
          </w:tcPr>
          <w:p w14:paraId="6CD9617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33" w:type="pct"/>
            <w:vMerge w:val="continue"/>
            <w:tcBorders>
              <w:top w:val="nil"/>
              <w:left w:val="nil"/>
              <w:bottom w:val="inset" w:color="333333" w:sz="6" w:space="0"/>
              <w:right w:val="inset" w:color="333333" w:sz="6" w:space="0"/>
            </w:tcBorders>
            <w:vAlign w:val="center"/>
          </w:tcPr>
          <w:p w14:paraId="7E50567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285" w:type="pct"/>
            <w:tcBorders>
              <w:top w:val="inset" w:color="333333" w:sz="6" w:space="0"/>
              <w:left w:val="nil"/>
              <w:bottom w:val="inset" w:color="333333" w:sz="6" w:space="0"/>
              <w:right w:val="inset" w:color="333333" w:sz="6" w:space="0"/>
            </w:tcBorders>
            <w:vAlign w:val="center"/>
          </w:tcPr>
          <w:p w14:paraId="668CABB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单独编制或审核预算造价</w:t>
            </w:r>
          </w:p>
        </w:tc>
        <w:tc>
          <w:tcPr>
            <w:tcW w:w="875" w:type="pct"/>
            <w:tcBorders>
              <w:top w:val="inset" w:color="333333" w:sz="6" w:space="0"/>
              <w:left w:val="nil"/>
              <w:bottom w:val="inset" w:color="333333" w:sz="6" w:space="0"/>
              <w:right w:val="inset" w:color="333333" w:sz="6" w:space="0"/>
            </w:tcBorders>
            <w:vAlign w:val="center"/>
          </w:tcPr>
          <w:p w14:paraId="44C2A26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依据施工图、工程量清单编制或审核工程量清单报价，出具工程报价书或审核报告</w:t>
            </w:r>
          </w:p>
        </w:tc>
        <w:tc>
          <w:tcPr>
            <w:tcW w:w="380" w:type="pct"/>
            <w:tcBorders>
              <w:top w:val="inset" w:color="333333" w:sz="6" w:space="0"/>
              <w:left w:val="nil"/>
              <w:bottom w:val="inset" w:color="333333" w:sz="6" w:space="0"/>
              <w:right w:val="inset" w:color="333333" w:sz="6" w:space="0"/>
            </w:tcBorders>
            <w:vAlign w:val="center"/>
          </w:tcPr>
          <w:p w14:paraId="1CBF36B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预算造价（预算价、招标控制价、投标报价）</w:t>
            </w:r>
          </w:p>
        </w:tc>
        <w:tc>
          <w:tcPr>
            <w:tcW w:w="413" w:type="pct"/>
            <w:tcBorders>
              <w:top w:val="inset" w:color="333333" w:sz="6" w:space="0"/>
              <w:left w:val="nil"/>
              <w:bottom w:val="inset" w:color="333333" w:sz="6" w:space="0"/>
              <w:right w:val="inset" w:color="333333" w:sz="6" w:space="0"/>
            </w:tcBorders>
            <w:vAlign w:val="center"/>
          </w:tcPr>
          <w:p w14:paraId="66B9F66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1.8‰</w:t>
            </w:r>
          </w:p>
        </w:tc>
        <w:tc>
          <w:tcPr>
            <w:tcW w:w="386" w:type="pct"/>
            <w:tcBorders>
              <w:top w:val="inset" w:color="333333" w:sz="6" w:space="0"/>
              <w:left w:val="nil"/>
              <w:bottom w:val="inset" w:color="333333" w:sz="6" w:space="0"/>
              <w:right w:val="inset" w:color="333333" w:sz="6" w:space="0"/>
            </w:tcBorders>
            <w:vAlign w:val="center"/>
          </w:tcPr>
          <w:p w14:paraId="17FBE98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w:t>
            </w:r>
          </w:p>
        </w:tc>
        <w:tc>
          <w:tcPr>
            <w:tcW w:w="441" w:type="pct"/>
            <w:tcBorders>
              <w:top w:val="inset" w:color="333333" w:sz="6" w:space="0"/>
              <w:left w:val="nil"/>
              <w:bottom w:val="inset" w:color="333333" w:sz="6" w:space="0"/>
              <w:right w:val="inset" w:color="333333" w:sz="6" w:space="0"/>
            </w:tcBorders>
            <w:vAlign w:val="center"/>
          </w:tcPr>
          <w:p w14:paraId="76AF195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1.4‰</w:t>
            </w:r>
          </w:p>
        </w:tc>
        <w:tc>
          <w:tcPr>
            <w:tcW w:w="495" w:type="pct"/>
            <w:tcBorders>
              <w:top w:val="inset" w:color="333333" w:sz="6" w:space="0"/>
              <w:left w:val="nil"/>
              <w:bottom w:val="inset" w:color="333333" w:sz="6" w:space="0"/>
              <w:right w:val="inset" w:color="333333" w:sz="6" w:space="0"/>
            </w:tcBorders>
            <w:vAlign w:val="center"/>
          </w:tcPr>
          <w:p w14:paraId="70DBA44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93" w:type="pct"/>
            <w:tcBorders>
              <w:top w:val="inset" w:color="333333" w:sz="6" w:space="0"/>
              <w:left w:val="nil"/>
              <w:bottom w:val="inset" w:color="333333" w:sz="6" w:space="0"/>
              <w:right w:val="inset" w:color="333333" w:sz="6" w:space="0"/>
            </w:tcBorders>
            <w:vAlign w:val="center"/>
          </w:tcPr>
          <w:p w14:paraId="2015901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0.9‰</w:t>
            </w:r>
          </w:p>
        </w:tc>
        <w:tc>
          <w:tcPr>
            <w:tcW w:w="379" w:type="pct"/>
            <w:tcBorders>
              <w:top w:val="inset" w:color="333333" w:sz="6" w:space="0"/>
              <w:left w:val="nil"/>
              <w:bottom w:val="inset" w:color="333333" w:sz="6" w:space="0"/>
              <w:right w:val="inset" w:color="333333" w:sz="6" w:space="0"/>
            </w:tcBorders>
            <w:vAlign w:val="center"/>
          </w:tcPr>
          <w:p w14:paraId="34D2604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0.8‰</w:t>
            </w:r>
          </w:p>
        </w:tc>
        <w:tc>
          <w:tcPr>
            <w:tcW w:w="452" w:type="pct"/>
            <w:tcBorders>
              <w:top w:val="inset" w:color="333333" w:sz="6" w:space="0"/>
              <w:left w:val="nil"/>
              <w:bottom w:val="inset" w:color="333333" w:sz="6" w:space="0"/>
              <w:right w:val="inset" w:color="333333" w:sz="6" w:space="0"/>
            </w:tcBorders>
            <w:vAlign w:val="center"/>
          </w:tcPr>
          <w:p w14:paraId="4F91A4C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32F5ED1A">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750" w:hRule="atLeast"/>
        </w:trPr>
        <w:tc>
          <w:tcPr>
            <w:tcW w:w="206" w:type="pct"/>
            <w:vMerge w:val="continue"/>
            <w:tcBorders>
              <w:top w:val="nil"/>
              <w:left w:val="inset" w:color="333333" w:sz="6" w:space="0"/>
              <w:bottom w:val="inset" w:color="333333" w:sz="6" w:space="0"/>
              <w:right w:val="inset" w:color="333333" w:sz="6" w:space="0"/>
            </w:tcBorders>
            <w:vAlign w:val="center"/>
          </w:tcPr>
          <w:p w14:paraId="11B3336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59" w:type="pct"/>
            <w:vMerge w:val="continue"/>
            <w:tcBorders>
              <w:top w:val="nil"/>
              <w:left w:val="nil"/>
              <w:bottom w:val="inset" w:color="333333" w:sz="6" w:space="0"/>
              <w:right w:val="inset" w:color="333333" w:sz="6" w:space="0"/>
            </w:tcBorders>
            <w:vAlign w:val="center"/>
          </w:tcPr>
          <w:p w14:paraId="31C631C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133" w:type="pct"/>
            <w:tcBorders>
              <w:top w:val="inset" w:color="333333" w:sz="6" w:space="0"/>
              <w:left w:val="nil"/>
              <w:bottom w:val="inset" w:color="333333" w:sz="6" w:space="0"/>
              <w:right w:val="inset" w:color="333333" w:sz="6" w:space="0"/>
            </w:tcBorders>
            <w:vAlign w:val="center"/>
          </w:tcPr>
          <w:p w14:paraId="2FFE858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定额计价法</w:t>
            </w:r>
          </w:p>
        </w:tc>
        <w:tc>
          <w:tcPr>
            <w:tcW w:w="285" w:type="pct"/>
            <w:tcBorders>
              <w:top w:val="inset" w:color="333333" w:sz="6" w:space="0"/>
              <w:left w:val="nil"/>
              <w:bottom w:val="inset" w:color="333333" w:sz="6" w:space="0"/>
              <w:right w:val="inset" w:color="333333" w:sz="6" w:space="0"/>
            </w:tcBorders>
            <w:vAlign w:val="center"/>
          </w:tcPr>
          <w:p w14:paraId="18FF6B3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编制或审核预算造价</w:t>
            </w:r>
          </w:p>
        </w:tc>
        <w:tc>
          <w:tcPr>
            <w:tcW w:w="875" w:type="pct"/>
            <w:tcBorders>
              <w:top w:val="inset" w:color="333333" w:sz="6" w:space="0"/>
              <w:left w:val="nil"/>
              <w:bottom w:val="inset" w:color="333333" w:sz="6" w:space="0"/>
              <w:right w:val="inset" w:color="333333" w:sz="6" w:space="0"/>
            </w:tcBorders>
            <w:vAlign w:val="center"/>
          </w:tcPr>
          <w:p w14:paraId="2B2528A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依据施工图编制或审核工程预算，出具工程预算书或审核报告</w:t>
            </w:r>
          </w:p>
        </w:tc>
        <w:tc>
          <w:tcPr>
            <w:tcW w:w="380" w:type="pct"/>
            <w:tcBorders>
              <w:top w:val="inset" w:color="333333" w:sz="6" w:space="0"/>
              <w:left w:val="nil"/>
              <w:bottom w:val="inset" w:color="333333" w:sz="6" w:space="0"/>
              <w:right w:val="inset" w:color="333333" w:sz="6" w:space="0"/>
            </w:tcBorders>
            <w:vAlign w:val="center"/>
          </w:tcPr>
          <w:p w14:paraId="2109B22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预算造价（预算价、招标控制价、投标报价）</w:t>
            </w:r>
          </w:p>
        </w:tc>
        <w:tc>
          <w:tcPr>
            <w:tcW w:w="413" w:type="pct"/>
            <w:tcBorders>
              <w:top w:val="inset" w:color="333333" w:sz="6" w:space="0"/>
              <w:left w:val="nil"/>
              <w:bottom w:val="inset" w:color="333333" w:sz="6" w:space="0"/>
              <w:right w:val="inset" w:color="333333" w:sz="6" w:space="0"/>
            </w:tcBorders>
            <w:vAlign w:val="center"/>
          </w:tcPr>
          <w:p w14:paraId="3CAE329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3.5‰</w:t>
            </w:r>
          </w:p>
        </w:tc>
        <w:tc>
          <w:tcPr>
            <w:tcW w:w="386" w:type="pct"/>
            <w:tcBorders>
              <w:top w:val="inset" w:color="333333" w:sz="6" w:space="0"/>
              <w:left w:val="nil"/>
              <w:bottom w:val="inset" w:color="333333" w:sz="6" w:space="0"/>
              <w:right w:val="inset" w:color="333333" w:sz="6" w:space="0"/>
            </w:tcBorders>
            <w:vAlign w:val="center"/>
          </w:tcPr>
          <w:p w14:paraId="6ABA5C0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441" w:type="pct"/>
            <w:tcBorders>
              <w:top w:val="inset" w:color="333333" w:sz="6" w:space="0"/>
              <w:left w:val="nil"/>
              <w:bottom w:val="inset" w:color="333333" w:sz="6" w:space="0"/>
              <w:right w:val="inset" w:color="333333" w:sz="6" w:space="0"/>
            </w:tcBorders>
            <w:vAlign w:val="center"/>
          </w:tcPr>
          <w:p w14:paraId="7CC53CC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2.8‰</w:t>
            </w:r>
          </w:p>
        </w:tc>
        <w:tc>
          <w:tcPr>
            <w:tcW w:w="495" w:type="pct"/>
            <w:tcBorders>
              <w:top w:val="inset" w:color="333333" w:sz="6" w:space="0"/>
              <w:left w:val="nil"/>
              <w:bottom w:val="inset" w:color="333333" w:sz="6" w:space="0"/>
              <w:right w:val="inset" w:color="333333" w:sz="6" w:space="0"/>
            </w:tcBorders>
            <w:vAlign w:val="center"/>
          </w:tcPr>
          <w:p w14:paraId="494D36A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2.7‰</w:t>
            </w:r>
          </w:p>
        </w:tc>
        <w:tc>
          <w:tcPr>
            <w:tcW w:w="393" w:type="pct"/>
            <w:tcBorders>
              <w:top w:val="inset" w:color="333333" w:sz="6" w:space="0"/>
              <w:left w:val="nil"/>
              <w:bottom w:val="inset" w:color="333333" w:sz="6" w:space="0"/>
              <w:right w:val="inset" w:color="333333" w:sz="6" w:space="0"/>
            </w:tcBorders>
            <w:vAlign w:val="center"/>
          </w:tcPr>
          <w:p w14:paraId="69A92AF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2.4‰</w:t>
            </w:r>
          </w:p>
        </w:tc>
        <w:tc>
          <w:tcPr>
            <w:tcW w:w="379" w:type="pct"/>
            <w:tcBorders>
              <w:top w:val="inset" w:color="333333" w:sz="6" w:space="0"/>
              <w:left w:val="nil"/>
              <w:bottom w:val="inset" w:color="333333" w:sz="6" w:space="0"/>
              <w:right w:val="inset" w:color="333333" w:sz="6" w:space="0"/>
            </w:tcBorders>
            <w:vAlign w:val="center"/>
          </w:tcPr>
          <w:p w14:paraId="4E1882A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452" w:type="pct"/>
            <w:tcBorders>
              <w:top w:val="inset" w:color="333333" w:sz="6" w:space="0"/>
              <w:left w:val="nil"/>
              <w:bottom w:val="inset" w:color="333333" w:sz="6" w:space="0"/>
              <w:right w:val="inset" w:color="333333" w:sz="6" w:space="0"/>
            </w:tcBorders>
            <w:vAlign w:val="center"/>
          </w:tcPr>
          <w:p w14:paraId="3F59874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3AC3E9EF">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675"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5B40B25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577" w:type="pct"/>
            <w:gridSpan w:val="3"/>
            <w:tcBorders>
              <w:top w:val="inset" w:color="333333" w:sz="6" w:space="0"/>
              <w:left w:val="nil"/>
              <w:bottom w:val="inset" w:color="333333" w:sz="6" w:space="0"/>
              <w:right w:val="inset" w:color="333333" w:sz="6" w:space="0"/>
            </w:tcBorders>
            <w:vAlign w:val="center"/>
          </w:tcPr>
          <w:p w14:paraId="11E9DA8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工程结算的编制</w:t>
            </w:r>
          </w:p>
        </w:tc>
        <w:tc>
          <w:tcPr>
            <w:tcW w:w="875" w:type="pct"/>
            <w:tcBorders>
              <w:top w:val="inset" w:color="333333" w:sz="6" w:space="0"/>
              <w:left w:val="nil"/>
              <w:bottom w:val="inset" w:color="333333" w:sz="6" w:space="0"/>
              <w:right w:val="inset" w:color="333333" w:sz="6" w:space="0"/>
            </w:tcBorders>
            <w:vAlign w:val="center"/>
          </w:tcPr>
          <w:p w14:paraId="7C4688F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依据竣工图等竣工资料编制工程结算，出具工程结算书</w:t>
            </w:r>
          </w:p>
        </w:tc>
        <w:tc>
          <w:tcPr>
            <w:tcW w:w="380" w:type="pct"/>
            <w:tcBorders>
              <w:top w:val="inset" w:color="333333" w:sz="6" w:space="0"/>
              <w:left w:val="nil"/>
              <w:bottom w:val="inset" w:color="333333" w:sz="6" w:space="0"/>
              <w:right w:val="inset" w:color="333333" w:sz="6" w:space="0"/>
            </w:tcBorders>
            <w:vAlign w:val="center"/>
          </w:tcPr>
          <w:p w14:paraId="1B8FE0B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结算价</w:t>
            </w:r>
          </w:p>
        </w:tc>
        <w:tc>
          <w:tcPr>
            <w:tcW w:w="413" w:type="pct"/>
            <w:tcBorders>
              <w:top w:val="inset" w:color="333333" w:sz="6" w:space="0"/>
              <w:left w:val="nil"/>
              <w:bottom w:val="inset" w:color="333333" w:sz="6" w:space="0"/>
              <w:right w:val="inset" w:color="333333" w:sz="6" w:space="0"/>
            </w:tcBorders>
            <w:vAlign w:val="center"/>
          </w:tcPr>
          <w:p w14:paraId="6A6D368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4.5‰</w:t>
            </w:r>
          </w:p>
        </w:tc>
        <w:tc>
          <w:tcPr>
            <w:tcW w:w="386" w:type="pct"/>
            <w:tcBorders>
              <w:top w:val="inset" w:color="333333" w:sz="6" w:space="0"/>
              <w:left w:val="nil"/>
              <w:bottom w:val="inset" w:color="333333" w:sz="6" w:space="0"/>
              <w:right w:val="inset" w:color="333333" w:sz="6" w:space="0"/>
            </w:tcBorders>
            <w:vAlign w:val="center"/>
          </w:tcPr>
          <w:p w14:paraId="341E6F2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441" w:type="pct"/>
            <w:tcBorders>
              <w:top w:val="inset" w:color="333333" w:sz="6" w:space="0"/>
              <w:left w:val="nil"/>
              <w:bottom w:val="inset" w:color="333333" w:sz="6" w:space="0"/>
              <w:right w:val="inset" w:color="333333" w:sz="6" w:space="0"/>
            </w:tcBorders>
            <w:vAlign w:val="center"/>
          </w:tcPr>
          <w:p w14:paraId="2EEA3D3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3.5‰</w:t>
            </w:r>
          </w:p>
        </w:tc>
        <w:tc>
          <w:tcPr>
            <w:tcW w:w="495" w:type="pct"/>
            <w:tcBorders>
              <w:top w:val="inset" w:color="333333" w:sz="6" w:space="0"/>
              <w:left w:val="nil"/>
              <w:bottom w:val="inset" w:color="333333" w:sz="6" w:space="0"/>
              <w:right w:val="inset" w:color="333333" w:sz="6" w:space="0"/>
            </w:tcBorders>
            <w:vAlign w:val="center"/>
          </w:tcPr>
          <w:p w14:paraId="5786ADE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3.3‰</w:t>
            </w:r>
          </w:p>
        </w:tc>
        <w:tc>
          <w:tcPr>
            <w:tcW w:w="393" w:type="pct"/>
            <w:tcBorders>
              <w:top w:val="inset" w:color="333333" w:sz="6" w:space="0"/>
              <w:left w:val="nil"/>
              <w:bottom w:val="inset" w:color="333333" w:sz="6" w:space="0"/>
              <w:right w:val="inset" w:color="333333" w:sz="6" w:space="0"/>
            </w:tcBorders>
            <w:vAlign w:val="center"/>
          </w:tcPr>
          <w:p w14:paraId="7D90273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379" w:type="pct"/>
            <w:tcBorders>
              <w:top w:val="inset" w:color="333333" w:sz="6" w:space="0"/>
              <w:left w:val="nil"/>
              <w:bottom w:val="inset" w:color="333333" w:sz="6" w:space="0"/>
              <w:right w:val="inset" w:color="333333" w:sz="6" w:space="0"/>
            </w:tcBorders>
            <w:vAlign w:val="center"/>
          </w:tcPr>
          <w:p w14:paraId="29E9EC1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w:t>
            </w:r>
          </w:p>
        </w:tc>
        <w:tc>
          <w:tcPr>
            <w:tcW w:w="452" w:type="pct"/>
            <w:tcBorders>
              <w:top w:val="inset" w:color="333333" w:sz="6" w:space="0"/>
              <w:left w:val="nil"/>
              <w:bottom w:val="inset" w:color="333333" w:sz="6" w:space="0"/>
              <w:right w:val="inset" w:color="333333" w:sz="6" w:space="0"/>
            </w:tcBorders>
            <w:vAlign w:val="center"/>
          </w:tcPr>
          <w:p w14:paraId="65B98CB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w:t>
            </w:r>
          </w:p>
        </w:tc>
      </w:tr>
      <w:tr w14:paraId="64DEF68E">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735" w:hRule="atLeast"/>
        </w:trPr>
        <w:tc>
          <w:tcPr>
            <w:tcW w:w="206" w:type="pct"/>
            <w:vMerge w:val="restart"/>
            <w:tcBorders>
              <w:top w:val="nil"/>
              <w:left w:val="inset" w:color="333333" w:sz="6" w:space="0"/>
              <w:bottom w:val="inset" w:color="333333" w:sz="6" w:space="0"/>
              <w:right w:val="inset" w:color="333333" w:sz="6" w:space="0"/>
            </w:tcBorders>
            <w:vAlign w:val="center"/>
          </w:tcPr>
          <w:p w14:paraId="11ADEB1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292" w:type="pct"/>
            <w:gridSpan w:val="2"/>
            <w:vMerge w:val="restart"/>
            <w:tcBorders>
              <w:top w:val="nil"/>
              <w:left w:val="nil"/>
              <w:bottom w:val="inset" w:color="333333" w:sz="6" w:space="0"/>
              <w:right w:val="inset" w:color="333333" w:sz="6" w:space="0"/>
            </w:tcBorders>
            <w:vAlign w:val="center"/>
          </w:tcPr>
          <w:p w14:paraId="4646573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工程结算审核</w:t>
            </w:r>
          </w:p>
        </w:tc>
        <w:tc>
          <w:tcPr>
            <w:tcW w:w="285" w:type="pct"/>
            <w:tcBorders>
              <w:top w:val="inset" w:color="333333" w:sz="6" w:space="0"/>
              <w:left w:val="nil"/>
              <w:bottom w:val="inset" w:color="333333" w:sz="6" w:space="0"/>
              <w:right w:val="inset" w:color="333333" w:sz="6" w:space="0"/>
            </w:tcBorders>
            <w:vAlign w:val="center"/>
          </w:tcPr>
          <w:p w14:paraId="45A75BC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（1）基本收费</w:t>
            </w:r>
          </w:p>
        </w:tc>
        <w:tc>
          <w:tcPr>
            <w:tcW w:w="875" w:type="pct"/>
            <w:vMerge w:val="restart"/>
            <w:tcBorders>
              <w:top w:val="nil"/>
              <w:left w:val="nil"/>
              <w:bottom w:val="inset" w:color="333333" w:sz="6" w:space="0"/>
              <w:right w:val="inset" w:color="333333" w:sz="6" w:space="0"/>
            </w:tcBorders>
            <w:vAlign w:val="center"/>
          </w:tcPr>
          <w:p w14:paraId="3726370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依据竣工图、签证资料、工程结算书等进行审核，出具工程结算审核报告</w:t>
            </w:r>
          </w:p>
        </w:tc>
        <w:tc>
          <w:tcPr>
            <w:tcW w:w="380" w:type="pct"/>
            <w:tcBorders>
              <w:top w:val="inset" w:color="333333" w:sz="6" w:space="0"/>
              <w:left w:val="nil"/>
              <w:bottom w:val="inset" w:color="333333" w:sz="6" w:space="0"/>
              <w:right w:val="inset" w:color="333333" w:sz="6" w:space="0"/>
            </w:tcBorders>
            <w:vAlign w:val="center"/>
          </w:tcPr>
          <w:p w14:paraId="24F750F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送审结算价</w:t>
            </w:r>
          </w:p>
        </w:tc>
        <w:tc>
          <w:tcPr>
            <w:tcW w:w="413" w:type="pct"/>
            <w:tcBorders>
              <w:top w:val="inset" w:color="333333" w:sz="6" w:space="0"/>
              <w:left w:val="nil"/>
              <w:bottom w:val="inset" w:color="333333" w:sz="6" w:space="0"/>
              <w:right w:val="inset" w:color="333333" w:sz="6" w:space="0"/>
            </w:tcBorders>
            <w:vAlign w:val="center"/>
          </w:tcPr>
          <w:p w14:paraId="624A5F8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2.8‰</w:t>
            </w:r>
          </w:p>
        </w:tc>
        <w:tc>
          <w:tcPr>
            <w:tcW w:w="386" w:type="pct"/>
            <w:tcBorders>
              <w:top w:val="inset" w:color="333333" w:sz="6" w:space="0"/>
              <w:left w:val="nil"/>
              <w:bottom w:val="nil"/>
              <w:right w:val="inset" w:color="333333" w:sz="6" w:space="0"/>
            </w:tcBorders>
            <w:vAlign w:val="center"/>
          </w:tcPr>
          <w:p w14:paraId="735EE24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2.5‰</w:t>
            </w:r>
          </w:p>
        </w:tc>
        <w:tc>
          <w:tcPr>
            <w:tcW w:w="441" w:type="pct"/>
            <w:tcBorders>
              <w:top w:val="inset" w:color="333333" w:sz="6" w:space="0"/>
              <w:left w:val="nil"/>
              <w:bottom w:val="inset" w:color="333333" w:sz="6" w:space="0"/>
              <w:right w:val="inset" w:color="333333" w:sz="6" w:space="0"/>
            </w:tcBorders>
            <w:vAlign w:val="center"/>
          </w:tcPr>
          <w:p w14:paraId="23F21CF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2.2‰</w:t>
            </w:r>
          </w:p>
        </w:tc>
        <w:tc>
          <w:tcPr>
            <w:tcW w:w="495" w:type="pct"/>
            <w:tcBorders>
              <w:top w:val="inset" w:color="333333" w:sz="6" w:space="0"/>
              <w:left w:val="nil"/>
              <w:bottom w:val="inset" w:color="333333" w:sz="6" w:space="0"/>
              <w:right w:val="inset" w:color="333333" w:sz="6" w:space="0"/>
            </w:tcBorders>
            <w:vAlign w:val="center"/>
          </w:tcPr>
          <w:p w14:paraId="55F01BB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1.6‰</w:t>
            </w:r>
          </w:p>
        </w:tc>
        <w:tc>
          <w:tcPr>
            <w:tcW w:w="393" w:type="pct"/>
            <w:tcBorders>
              <w:top w:val="inset" w:color="333333" w:sz="6" w:space="0"/>
              <w:left w:val="nil"/>
              <w:bottom w:val="inset" w:color="333333" w:sz="6" w:space="0"/>
              <w:right w:val="inset" w:color="333333" w:sz="6" w:space="0"/>
            </w:tcBorders>
            <w:vAlign w:val="center"/>
          </w:tcPr>
          <w:p w14:paraId="297F4F6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1.3‰</w:t>
            </w:r>
          </w:p>
        </w:tc>
        <w:tc>
          <w:tcPr>
            <w:tcW w:w="379" w:type="pct"/>
            <w:tcBorders>
              <w:top w:val="inset" w:color="333333" w:sz="6" w:space="0"/>
              <w:left w:val="nil"/>
              <w:bottom w:val="inset" w:color="333333" w:sz="6" w:space="0"/>
              <w:right w:val="inset" w:color="333333" w:sz="6" w:space="0"/>
            </w:tcBorders>
            <w:vAlign w:val="center"/>
          </w:tcPr>
          <w:p w14:paraId="1EF2AD4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452" w:type="pct"/>
            <w:vMerge w:val="restart"/>
            <w:tcBorders>
              <w:top w:val="inset" w:color="333333" w:sz="6" w:space="0"/>
              <w:left w:val="nil"/>
              <w:bottom w:val="inset" w:color="333333" w:sz="6" w:space="0"/>
              <w:right w:val="inset" w:color="333333" w:sz="6" w:space="0"/>
            </w:tcBorders>
            <w:vAlign w:val="center"/>
          </w:tcPr>
          <w:p w14:paraId="5C17771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基本收费为差额定率累进计费；总收费=基本收费+效益收费</w:t>
            </w:r>
          </w:p>
        </w:tc>
      </w:tr>
      <w:tr w14:paraId="26A9A26F">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660" w:hRule="atLeast"/>
        </w:trPr>
        <w:tc>
          <w:tcPr>
            <w:tcW w:w="206" w:type="pct"/>
            <w:vMerge w:val="continue"/>
            <w:tcBorders>
              <w:top w:val="nil"/>
              <w:left w:val="inset" w:color="333333" w:sz="6" w:space="0"/>
              <w:bottom w:val="inset" w:color="333333" w:sz="6" w:space="0"/>
              <w:right w:val="inset" w:color="333333" w:sz="6" w:space="0"/>
            </w:tcBorders>
            <w:vAlign w:val="center"/>
          </w:tcPr>
          <w:p w14:paraId="7B65252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292" w:type="pct"/>
            <w:gridSpan w:val="2"/>
            <w:vMerge w:val="continue"/>
            <w:tcBorders>
              <w:top w:val="nil"/>
              <w:left w:val="nil"/>
              <w:bottom w:val="inset" w:color="333333" w:sz="6" w:space="0"/>
              <w:right w:val="inset" w:color="333333" w:sz="6" w:space="0"/>
            </w:tcBorders>
            <w:vAlign w:val="center"/>
          </w:tcPr>
          <w:p w14:paraId="1C39CE8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285" w:type="pct"/>
            <w:tcBorders>
              <w:top w:val="inset" w:color="333333" w:sz="6" w:space="0"/>
              <w:left w:val="nil"/>
              <w:bottom w:val="inset" w:color="333333" w:sz="6" w:space="0"/>
              <w:right w:val="inset" w:color="333333" w:sz="6" w:space="0"/>
            </w:tcBorders>
            <w:vAlign w:val="center"/>
          </w:tcPr>
          <w:p w14:paraId="7F347A6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（2）效益收费</w:t>
            </w:r>
          </w:p>
        </w:tc>
        <w:tc>
          <w:tcPr>
            <w:tcW w:w="875" w:type="pct"/>
            <w:vMerge w:val="continue"/>
            <w:tcBorders>
              <w:top w:val="nil"/>
              <w:left w:val="nil"/>
              <w:bottom w:val="inset" w:color="333333" w:sz="6" w:space="0"/>
              <w:right w:val="inset" w:color="333333" w:sz="6" w:space="0"/>
            </w:tcBorders>
            <w:vAlign w:val="center"/>
          </w:tcPr>
          <w:p w14:paraId="4851645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380" w:type="pct"/>
            <w:tcBorders>
              <w:top w:val="inset" w:color="333333" w:sz="6" w:space="0"/>
              <w:left w:val="nil"/>
              <w:bottom w:val="inset" w:color="333333" w:sz="6" w:space="0"/>
              <w:right w:val="inset" w:color="333333" w:sz="6" w:space="0"/>
            </w:tcBorders>
            <w:vAlign w:val="center"/>
          </w:tcPr>
          <w:p w14:paraId="2771835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|核减额|+|核增额|</w:t>
            </w:r>
          </w:p>
        </w:tc>
        <w:tc>
          <w:tcPr>
            <w:tcW w:w="2507" w:type="pct"/>
            <w:gridSpan w:val="6"/>
            <w:tcBorders>
              <w:top w:val="inset" w:color="333333" w:sz="6" w:space="0"/>
              <w:left w:val="nil"/>
              <w:bottom w:val="inset" w:color="333333" w:sz="6" w:space="0"/>
              <w:right w:val="inset" w:color="333333" w:sz="6" w:space="0"/>
            </w:tcBorders>
            <w:vAlign w:val="center"/>
          </w:tcPr>
          <w:p w14:paraId="78CFB0C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452" w:type="pct"/>
            <w:vMerge w:val="continue"/>
            <w:tcBorders>
              <w:top w:val="inset" w:color="333333" w:sz="6" w:space="0"/>
              <w:left w:val="nil"/>
              <w:bottom w:val="inset" w:color="333333" w:sz="6" w:space="0"/>
              <w:right w:val="inset" w:color="333333" w:sz="6" w:space="0"/>
            </w:tcBorders>
            <w:vAlign w:val="center"/>
          </w:tcPr>
          <w:p w14:paraId="6AEABD6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7D7BA5DF">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23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42C4EB4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p>
        </w:tc>
        <w:tc>
          <w:tcPr>
            <w:tcW w:w="577" w:type="pct"/>
            <w:gridSpan w:val="3"/>
            <w:tcBorders>
              <w:top w:val="inset" w:color="333333" w:sz="6" w:space="0"/>
              <w:left w:val="nil"/>
              <w:bottom w:val="inset" w:color="333333" w:sz="6" w:space="0"/>
              <w:right w:val="inset" w:color="333333" w:sz="6" w:space="0"/>
            </w:tcBorders>
            <w:vAlign w:val="center"/>
          </w:tcPr>
          <w:p w14:paraId="01CD8EC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施工阶段全过程造价控制</w:t>
            </w:r>
          </w:p>
        </w:tc>
        <w:tc>
          <w:tcPr>
            <w:tcW w:w="875" w:type="pct"/>
            <w:tcBorders>
              <w:top w:val="inset" w:color="333333" w:sz="6" w:space="0"/>
              <w:left w:val="nil"/>
              <w:bottom w:val="inset" w:color="333333" w:sz="6" w:space="0"/>
              <w:right w:val="inset" w:color="333333" w:sz="6" w:space="0"/>
            </w:tcBorders>
            <w:vAlign w:val="center"/>
          </w:tcPr>
          <w:p w14:paraId="7EE89A7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工程量清单编制开始到工程结算审核的造价咨询服务</w:t>
            </w:r>
          </w:p>
        </w:tc>
        <w:tc>
          <w:tcPr>
            <w:tcW w:w="380" w:type="pct"/>
            <w:tcBorders>
              <w:top w:val="inset" w:color="333333" w:sz="6" w:space="0"/>
              <w:left w:val="nil"/>
              <w:bottom w:val="inset" w:color="333333" w:sz="6" w:space="0"/>
              <w:right w:val="inset" w:color="333333" w:sz="6" w:space="0"/>
            </w:tcBorders>
            <w:vAlign w:val="center"/>
          </w:tcPr>
          <w:p w14:paraId="5CC02ED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概算价</w:t>
            </w:r>
          </w:p>
        </w:tc>
        <w:tc>
          <w:tcPr>
            <w:tcW w:w="413" w:type="pct"/>
            <w:tcBorders>
              <w:top w:val="inset" w:color="333333" w:sz="6" w:space="0"/>
              <w:left w:val="nil"/>
              <w:bottom w:val="inset" w:color="333333" w:sz="6" w:space="0"/>
              <w:right w:val="inset" w:color="333333" w:sz="6" w:space="0"/>
            </w:tcBorders>
            <w:vAlign w:val="center"/>
          </w:tcPr>
          <w:p w14:paraId="4D73B52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86" w:type="pct"/>
            <w:tcBorders>
              <w:top w:val="inset" w:color="333333" w:sz="6" w:space="0"/>
              <w:left w:val="nil"/>
              <w:bottom w:val="inset" w:color="333333" w:sz="6" w:space="0"/>
              <w:right w:val="inset" w:color="333333" w:sz="6" w:space="0"/>
            </w:tcBorders>
            <w:vAlign w:val="center"/>
          </w:tcPr>
          <w:p w14:paraId="530A28E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11‰</w:t>
            </w:r>
          </w:p>
        </w:tc>
        <w:tc>
          <w:tcPr>
            <w:tcW w:w="441" w:type="pct"/>
            <w:tcBorders>
              <w:top w:val="inset" w:color="333333" w:sz="6" w:space="0"/>
              <w:left w:val="nil"/>
              <w:bottom w:val="inset" w:color="333333" w:sz="6" w:space="0"/>
              <w:right w:val="inset" w:color="333333" w:sz="6" w:space="0"/>
            </w:tcBorders>
            <w:vAlign w:val="center"/>
          </w:tcPr>
          <w:p w14:paraId="0FBE960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w:t>
            </w:r>
          </w:p>
        </w:tc>
        <w:tc>
          <w:tcPr>
            <w:tcW w:w="495" w:type="pct"/>
            <w:tcBorders>
              <w:top w:val="inset" w:color="333333" w:sz="6" w:space="0"/>
              <w:left w:val="nil"/>
              <w:bottom w:val="inset" w:color="333333" w:sz="6" w:space="0"/>
              <w:right w:val="inset" w:color="333333" w:sz="6" w:space="0"/>
            </w:tcBorders>
            <w:vAlign w:val="center"/>
          </w:tcPr>
          <w:p w14:paraId="461ABF4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393" w:type="pct"/>
            <w:tcBorders>
              <w:top w:val="inset" w:color="333333" w:sz="6" w:space="0"/>
              <w:left w:val="nil"/>
              <w:bottom w:val="inset" w:color="333333" w:sz="6" w:space="0"/>
              <w:right w:val="inset" w:color="333333" w:sz="6" w:space="0"/>
            </w:tcBorders>
            <w:vAlign w:val="center"/>
          </w:tcPr>
          <w:p w14:paraId="7DB9DD4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379" w:type="pct"/>
            <w:tcBorders>
              <w:top w:val="inset" w:color="333333" w:sz="6" w:space="0"/>
              <w:left w:val="nil"/>
              <w:bottom w:val="inset" w:color="333333" w:sz="6" w:space="0"/>
              <w:right w:val="inset" w:color="333333" w:sz="6" w:space="0"/>
            </w:tcBorders>
            <w:vAlign w:val="center"/>
          </w:tcPr>
          <w:p w14:paraId="5594E34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452" w:type="pct"/>
            <w:tcBorders>
              <w:top w:val="inset" w:color="333333" w:sz="6" w:space="0"/>
              <w:left w:val="nil"/>
              <w:bottom w:val="inset" w:color="333333" w:sz="6" w:space="0"/>
              <w:right w:val="inset" w:color="333333" w:sz="6" w:space="0"/>
            </w:tcBorders>
            <w:vAlign w:val="center"/>
          </w:tcPr>
          <w:p w14:paraId="3F5196F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差额定率累进计费；不包驻场人员的费用</w:t>
            </w:r>
          </w:p>
        </w:tc>
      </w:tr>
      <w:tr w14:paraId="1D807A47">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990" w:hRule="atLeast"/>
        </w:trPr>
        <w:tc>
          <w:tcPr>
            <w:tcW w:w="206" w:type="pct"/>
            <w:vMerge w:val="restart"/>
            <w:tcBorders>
              <w:top w:val="nil"/>
              <w:left w:val="inset" w:color="333333" w:sz="6" w:space="0"/>
              <w:bottom w:val="inset" w:color="333333" w:sz="6" w:space="0"/>
              <w:right w:val="inset" w:color="333333" w:sz="6" w:space="0"/>
            </w:tcBorders>
            <w:vAlign w:val="center"/>
          </w:tcPr>
          <w:p w14:paraId="58E53D94">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577" w:type="pct"/>
            <w:gridSpan w:val="3"/>
            <w:vMerge w:val="restart"/>
            <w:tcBorders>
              <w:top w:val="nil"/>
              <w:left w:val="nil"/>
              <w:bottom w:val="inset" w:color="333333" w:sz="6" w:space="0"/>
              <w:right w:val="inset" w:color="333333" w:sz="6" w:space="0"/>
            </w:tcBorders>
            <w:vAlign w:val="center"/>
          </w:tcPr>
          <w:p w14:paraId="1D48AF6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工程造价纠纷鉴证</w:t>
            </w:r>
          </w:p>
        </w:tc>
        <w:tc>
          <w:tcPr>
            <w:tcW w:w="875" w:type="pct"/>
            <w:tcBorders>
              <w:top w:val="inset" w:color="333333" w:sz="6" w:space="0"/>
              <w:left w:val="nil"/>
              <w:bottom w:val="inset" w:color="333333" w:sz="6" w:space="0"/>
              <w:right w:val="inset" w:color="333333" w:sz="6" w:space="0"/>
            </w:tcBorders>
            <w:vAlign w:val="center"/>
          </w:tcPr>
          <w:p w14:paraId="352A1A3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受委托进行鉴证</w:t>
            </w:r>
          </w:p>
        </w:tc>
        <w:tc>
          <w:tcPr>
            <w:tcW w:w="380" w:type="pct"/>
            <w:tcBorders>
              <w:top w:val="inset" w:color="333333" w:sz="6" w:space="0"/>
              <w:left w:val="nil"/>
              <w:bottom w:val="inset" w:color="333333" w:sz="6" w:space="0"/>
              <w:right w:val="inset" w:color="333333" w:sz="6" w:space="0"/>
            </w:tcBorders>
            <w:vAlign w:val="center"/>
          </w:tcPr>
          <w:p w14:paraId="69D1152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鉴证后标的额</w:t>
            </w:r>
          </w:p>
        </w:tc>
        <w:tc>
          <w:tcPr>
            <w:tcW w:w="413" w:type="pct"/>
            <w:tcBorders>
              <w:top w:val="inset" w:color="333333" w:sz="6" w:space="0"/>
              <w:left w:val="nil"/>
              <w:bottom w:val="inset" w:color="333333" w:sz="6" w:space="0"/>
              <w:right w:val="inset" w:color="333333" w:sz="6" w:space="0"/>
            </w:tcBorders>
            <w:vAlign w:val="center"/>
          </w:tcPr>
          <w:p w14:paraId="6552866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w:t>
            </w:r>
          </w:p>
        </w:tc>
        <w:tc>
          <w:tcPr>
            <w:tcW w:w="386" w:type="pct"/>
            <w:tcBorders>
              <w:top w:val="inset" w:color="333333" w:sz="6" w:space="0"/>
              <w:left w:val="nil"/>
              <w:bottom w:val="inset" w:color="333333" w:sz="6" w:space="0"/>
              <w:right w:val="inset" w:color="333333" w:sz="6" w:space="0"/>
            </w:tcBorders>
            <w:vAlign w:val="center"/>
          </w:tcPr>
          <w:p w14:paraId="7E75021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w:t>
            </w:r>
          </w:p>
        </w:tc>
        <w:tc>
          <w:tcPr>
            <w:tcW w:w="441" w:type="pct"/>
            <w:tcBorders>
              <w:top w:val="inset" w:color="333333" w:sz="6" w:space="0"/>
              <w:left w:val="nil"/>
              <w:bottom w:val="inset" w:color="333333" w:sz="6" w:space="0"/>
              <w:right w:val="inset" w:color="333333" w:sz="6" w:space="0"/>
            </w:tcBorders>
            <w:vAlign w:val="center"/>
          </w:tcPr>
          <w:p w14:paraId="450E17C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495" w:type="pct"/>
            <w:tcBorders>
              <w:top w:val="inset" w:color="333333" w:sz="6" w:space="0"/>
              <w:left w:val="nil"/>
              <w:bottom w:val="inset" w:color="333333" w:sz="6" w:space="0"/>
              <w:right w:val="inset" w:color="333333" w:sz="6" w:space="0"/>
            </w:tcBorders>
            <w:vAlign w:val="center"/>
          </w:tcPr>
          <w:p w14:paraId="579B687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393" w:type="pct"/>
            <w:tcBorders>
              <w:top w:val="inset" w:color="333333" w:sz="6" w:space="0"/>
              <w:left w:val="nil"/>
              <w:bottom w:val="inset" w:color="333333" w:sz="6" w:space="0"/>
              <w:right w:val="inset" w:color="333333" w:sz="6" w:space="0"/>
            </w:tcBorders>
            <w:vAlign w:val="center"/>
          </w:tcPr>
          <w:p w14:paraId="39552575">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p>
        </w:tc>
        <w:tc>
          <w:tcPr>
            <w:tcW w:w="379" w:type="pct"/>
            <w:tcBorders>
              <w:top w:val="inset" w:color="333333" w:sz="6" w:space="0"/>
              <w:left w:val="nil"/>
              <w:bottom w:val="inset" w:color="333333" w:sz="6" w:space="0"/>
              <w:right w:val="inset" w:color="333333" w:sz="6" w:space="0"/>
            </w:tcBorders>
            <w:vAlign w:val="center"/>
          </w:tcPr>
          <w:p w14:paraId="1307AB2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452" w:type="pct"/>
            <w:tcBorders>
              <w:top w:val="inset" w:color="333333" w:sz="6" w:space="0"/>
              <w:left w:val="nil"/>
              <w:bottom w:val="inset" w:color="333333" w:sz="6" w:space="0"/>
              <w:right w:val="inset" w:color="333333" w:sz="6" w:space="0"/>
            </w:tcBorders>
            <w:vAlign w:val="center"/>
          </w:tcPr>
          <w:p w14:paraId="3E02C02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差额定率累进计费；原被告单方有造价或双方均无造价</w:t>
            </w:r>
          </w:p>
        </w:tc>
      </w:tr>
      <w:tr w14:paraId="41D81373">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615" w:hRule="atLeast"/>
        </w:trPr>
        <w:tc>
          <w:tcPr>
            <w:tcW w:w="206" w:type="pct"/>
            <w:vMerge w:val="continue"/>
            <w:tcBorders>
              <w:top w:val="nil"/>
              <w:left w:val="inset" w:color="333333" w:sz="6" w:space="0"/>
              <w:bottom w:val="inset" w:color="333333" w:sz="6" w:space="0"/>
              <w:right w:val="inset" w:color="333333" w:sz="6" w:space="0"/>
            </w:tcBorders>
            <w:vAlign w:val="center"/>
          </w:tcPr>
          <w:p w14:paraId="7AE205B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577" w:type="pct"/>
            <w:gridSpan w:val="3"/>
            <w:vMerge w:val="continue"/>
            <w:tcBorders>
              <w:top w:val="nil"/>
              <w:left w:val="nil"/>
              <w:bottom w:val="inset" w:color="333333" w:sz="6" w:space="0"/>
              <w:right w:val="inset" w:color="333333" w:sz="6" w:space="0"/>
            </w:tcBorders>
            <w:vAlign w:val="center"/>
          </w:tcPr>
          <w:p w14:paraId="029D0A4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875" w:type="pct"/>
            <w:tcBorders>
              <w:top w:val="inset" w:color="333333" w:sz="6" w:space="0"/>
              <w:left w:val="nil"/>
              <w:bottom w:val="inset" w:color="333333" w:sz="6" w:space="0"/>
              <w:right w:val="inset" w:color="333333" w:sz="6" w:space="0"/>
            </w:tcBorders>
            <w:vAlign w:val="center"/>
          </w:tcPr>
          <w:p w14:paraId="18718FB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受委托进行鉴证</w:t>
            </w:r>
          </w:p>
        </w:tc>
        <w:tc>
          <w:tcPr>
            <w:tcW w:w="380" w:type="pct"/>
            <w:tcBorders>
              <w:top w:val="inset" w:color="333333" w:sz="6" w:space="0"/>
              <w:left w:val="nil"/>
              <w:bottom w:val="inset" w:color="333333" w:sz="6" w:space="0"/>
              <w:right w:val="inset" w:color="333333" w:sz="6" w:space="0"/>
            </w:tcBorders>
            <w:vAlign w:val="center"/>
          </w:tcPr>
          <w:p w14:paraId="6DD31E1D">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争议差额</w:t>
            </w:r>
          </w:p>
        </w:tc>
        <w:tc>
          <w:tcPr>
            <w:tcW w:w="2507" w:type="pct"/>
            <w:gridSpan w:val="6"/>
            <w:tcBorders>
              <w:top w:val="inset" w:color="333333" w:sz="6" w:space="0"/>
              <w:left w:val="nil"/>
              <w:bottom w:val="inset" w:color="333333" w:sz="6" w:space="0"/>
              <w:right w:val="inset" w:color="333333" w:sz="6" w:space="0"/>
            </w:tcBorders>
            <w:vAlign w:val="center"/>
          </w:tcPr>
          <w:p w14:paraId="3437A511">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争议差额在1000万以下（含1000万）按5%收取，1000万以上按4%收取</w:t>
            </w:r>
          </w:p>
        </w:tc>
        <w:tc>
          <w:tcPr>
            <w:tcW w:w="452" w:type="pct"/>
            <w:tcBorders>
              <w:top w:val="inset" w:color="333333" w:sz="6" w:space="0"/>
              <w:left w:val="nil"/>
              <w:bottom w:val="inset" w:color="333333" w:sz="6" w:space="0"/>
              <w:right w:val="inset" w:color="333333" w:sz="6" w:space="0"/>
            </w:tcBorders>
            <w:vAlign w:val="center"/>
          </w:tcPr>
          <w:p w14:paraId="2A4E6C2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双方各有造价</w:t>
            </w:r>
          </w:p>
        </w:tc>
      </w:tr>
      <w:tr w14:paraId="3EAABB70">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17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7C2B26D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577" w:type="pct"/>
            <w:gridSpan w:val="3"/>
            <w:tcBorders>
              <w:top w:val="inset" w:color="333333" w:sz="6" w:space="0"/>
              <w:left w:val="nil"/>
              <w:bottom w:val="inset" w:color="333333" w:sz="6" w:space="0"/>
              <w:right w:val="inset" w:color="333333" w:sz="6" w:space="0"/>
            </w:tcBorders>
            <w:vAlign w:val="center"/>
          </w:tcPr>
          <w:p w14:paraId="2CBBAF9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钢筋及预埋件计算</w:t>
            </w:r>
          </w:p>
        </w:tc>
        <w:tc>
          <w:tcPr>
            <w:tcW w:w="875" w:type="pct"/>
            <w:tcBorders>
              <w:top w:val="inset" w:color="333333" w:sz="6" w:space="0"/>
              <w:left w:val="nil"/>
              <w:bottom w:val="inset" w:color="333333" w:sz="6" w:space="0"/>
              <w:right w:val="inset" w:color="333333" w:sz="6" w:space="0"/>
            </w:tcBorders>
            <w:vAlign w:val="center"/>
          </w:tcPr>
          <w:p w14:paraId="66627C9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依据施工图纸、设计标准和施工操作规程计算或审核钢筋（或铁件）重量，提供完整的钢筋（或铁件）重量计算明细表、汇总表或审核报告</w:t>
            </w:r>
          </w:p>
        </w:tc>
        <w:tc>
          <w:tcPr>
            <w:tcW w:w="380" w:type="pct"/>
            <w:tcBorders>
              <w:top w:val="inset" w:color="333333" w:sz="6" w:space="0"/>
              <w:left w:val="nil"/>
              <w:bottom w:val="inset" w:color="333333" w:sz="6" w:space="0"/>
              <w:right w:val="inset" w:color="333333" w:sz="6" w:space="0"/>
            </w:tcBorders>
            <w:vAlign w:val="center"/>
          </w:tcPr>
          <w:p w14:paraId="747F8E0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按实际钢筋使用量</w:t>
            </w:r>
          </w:p>
        </w:tc>
        <w:tc>
          <w:tcPr>
            <w:tcW w:w="2507" w:type="pct"/>
            <w:gridSpan w:val="6"/>
            <w:tcBorders>
              <w:top w:val="inset" w:color="333333" w:sz="6" w:space="0"/>
              <w:left w:val="nil"/>
              <w:bottom w:val="inset" w:color="333333" w:sz="6" w:space="0"/>
              <w:right w:val="inset" w:color="333333" w:sz="6" w:space="0"/>
            </w:tcBorders>
            <w:vAlign w:val="center"/>
          </w:tcPr>
          <w:p w14:paraId="0F50329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12元/吨</w:t>
            </w:r>
          </w:p>
        </w:tc>
        <w:tc>
          <w:tcPr>
            <w:tcW w:w="452" w:type="pct"/>
            <w:tcBorders>
              <w:top w:val="inset" w:color="333333" w:sz="6" w:space="0"/>
              <w:left w:val="nil"/>
              <w:bottom w:val="inset" w:color="333333" w:sz="6" w:space="0"/>
              <w:right w:val="inset" w:color="333333" w:sz="6" w:space="0"/>
            </w:tcBorders>
            <w:vAlign w:val="center"/>
          </w:tcPr>
          <w:p w14:paraId="2F34D9E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w:t>
            </w:r>
          </w:p>
        </w:tc>
      </w:tr>
      <w:tr w14:paraId="5992C560">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1170" w:hRule="atLeast"/>
        </w:trPr>
        <w:tc>
          <w:tcPr>
            <w:tcW w:w="206" w:type="pct"/>
            <w:tcBorders>
              <w:top w:val="inset" w:color="333333" w:sz="6" w:space="0"/>
              <w:left w:val="inset" w:color="333333" w:sz="6" w:space="0"/>
              <w:bottom w:val="inset" w:color="333333" w:sz="6" w:space="0"/>
              <w:right w:val="inset" w:color="333333" w:sz="6" w:space="0"/>
            </w:tcBorders>
            <w:vAlign w:val="center"/>
          </w:tcPr>
          <w:p w14:paraId="5C279BE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577" w:type="pct"/>
            <w:gridSpan w:val="3"/>
            <w:tcBorders>
              <w:top w:val="inset" w:color="333333" w:sz="6" w:space="0"/>
              <w:left w:val="nil"/>
              <w:bottom w:val="inset" w:color="333333" w:sz="6" w:space="0"/>
              <w:right w:val="inset" w:color="333333" w:sz="6" w:space="0"/>
            </w:tcBorders>
            <w:vAlign w:val="center"/>
          </w:tcPr>
          <w:p w14:paraId="5CDE451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工程造价咨询工日收费标准</w:t>
            </w:r>
          </w:p>
        </w:tc>
        <w:tc>
          <w:tcPr>
            <w:tcW w:w="875" w:type="pct"/>
            <w:tcBorders>
              <w:top w:val="inset" w:color="333333" w:sz="6" w:space="0"/>
              <w:left w:val="nil"/>
              <w:bottom w:val="inset" w:color="333333" w:sz="6" w:space="0"/>
              <w:right w:val="inset" w:color="333333" w:sz="6" w:space="0"/>
            </w:tcBorders>
            <w:vAlign w:val="center"/>
          </w:tcPr>
          <w:p w14:paraId="59169BDA">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受委托派出专业人员从事工程造价咨询服务</w:t>
            </w:r>
          </w:p>
        </w:tc>
        <w:tc>
          <w:tcPr>
            <w:tcW w:w="380" w:type="pct"/>
            <w:tcBorders>
              <w:top w:val="inset" w:color="333333" w:sz="6" w:space="0"/>
              <w:left w:val="nil"/>
              <w:bottom w:val="inset" w:color="333333" w:sz="6" w:space="0"/>
              <w:right w:val="inset" w:color="333333" w:sz="6" w:space="0"/>
            </w:tcBorders>
            <w:vAlign w:val="center"/>
          </w:tcPr>
          <w:p w14:paraId="4F873549">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工时</w:t>
            </w:r>
          </w:p>
        </w:tc>
        <w:tc>
          <w:tcPr>
            <w:tcW w:w="2507" w:type="pct"/>
            <w:gridSpan w:val="6"/>
            <w:tcBorders>
              <w:top w:val="inset" w:color="333333" w:sz="6" w:space="0"/>
              <w:left w:val="nil"/>
              <w:bottom w:val="inset" w:color="333333" w:sz="6" w:space="0"/>
              <w:right w:val="inset" w:color="333333" w:sz="6" w:space="0"/>
            </w:tcBorders>
            <w:vAlign w:val="center"/>
          </w:tcPr>
          <w:p w14:paraId="70D9606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具有高级工程师职称的注册造价师：190元/人·工作小时；注册造价师或高级职称的咨询人员：150元/人·工作小时；工程造价中级资格专业人员：100元/人·工作小时；工程造价初级资格专业人员：60元/人·工作小时</w:t>
            </w:r>
          </w:p>
        </w:tc>
        <w:tc>
          <w:tcPr>
            <w:tcW w:w="452" w:type="pct"/>
            <w:tcBorders>
              <w:top w:val="inset" w:color="333333" w:sz="6" w:space="0"/>
              <w:left w:val="nil"/>
              <w:bottom w:val="inset" w:color="333333" w:sz="6" w:space="0"/>
              <w:right w:val="inset" w:color="333333" w:sz="6" w:space="0"/>
            </w:tcBorders>
            <w:vAlign w:val="center"/>
          </w:tcPr>
          <w:p w14:paraId="1333F152">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w:t>
            </w:r>
          </w:p>
        </w:tc>
      </w:tr>
      <w:tr w14:paraId="373756BE">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525" w:hRule="atLeast"/>
        </w:trPr>
        <w:tc>
          <w:tcPr>
            <w:tcW w:w="206" w:type="pct"/>
            <w:vMerge w:val="restart"/>
            <w:tcBorders>
              <w:top w:val="inset" w:color="333333" w:sz="6" w:space="0"/>
              <w:left w:val="inset" w:color="333333" w:sz="6" w:space="0"/>
              <w:right w:val="inset" w:color="333333" w:sz="6" w:space="0"/>
            </w:tcBorders>
            <w:vAlign w:val="center"/>
          </w:tcPr>
          <w:p w14:paraId="169E49D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tc>
        <w:tc>
          <w:tcPr>
            <w:tcW w:w="4341" w:type="pct"/>
            <w:gridSpan w:val="11"/>
            <w:tcBorders>
              <w:top w:val="inset" w:color="333333" w:sz="6" w:space="0"/>
              <w:left w:val="nil"/>
              <w:bottom w:val="inset" w:color="333333" w:sz="6" w:space="0"/>
              <w:right w:val="inset" w:color="333333" w:sz="6" w:space="0"/>
            </w:tcBorders>
            <w:vAlign w:val="center"/>
          </w:tcPr>
          <w:p w14:paraId="59B6E0B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1.以上收费标准为最高收费标准，委托双方可在最高收费标准范围内协商确定具体收费标准。</w:t>
            </w:r>
          </w:p>
        </w:tc>
        <w:tc>
          <w:tcPr>
            <w:tcW w:w="452" w:type="pct"/>
            <w:tcBorders>
              <w:top w:val="inset" w:color="333333" w:sz="6" w:space="0"/>
              <w:left w:val="nil"/>
              <w:bottom w:val="inset" w:color="333333" w:sz="6" w:space="0"/>
              <w:right w:val="inset" w:color="333333" w:sz="6" w:space="0"/>
            </w:tcBorders>
            <w:vAlign w:val="center"/>
          </w:tcPr>
          <w:p w14:paraId="2CBBFD1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406E6A49">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390" w:hRule="atLeast"/>
        </w:trPr>
        <w:tc>
          <w:tcPr>
            <w:tcW w:w="206" w:type="pct"/>
            <w:vMerge w:val="continue"/>
            <w:tcBorders>
              <w:left w:val="inset" w:color="333333" w:sz="6" w:space="0"/>
              <w:right w:val="inset" w:color="333333" w:sz="6" w:space="0"/>
            </w:tcBorders>
            <w:vAlign w:val="center"/>
          </w:tcPr>
          <w:p w14:paraId="6E891A9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4341" w:type="pct"/>
            <w:gridSpan w:val="11"/>
            <w:tcBorders>
              <w:top w:val="inset" w:color="333333" w:sz="6" w:space="0"/>
              <w:left w:val="nil"/>
              <w:bottom w:val="inset" w:color="333333" w:sz="6" w:space="0"/>
              <w:right w:val="inset" w:color="333333" w:sz="6" w:space="0"/>
            </w:tcBorders>
            <w:vAlign w:val="center"/>
          </w:tcPr>
          <w:p w14:paraId="1F30739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2.造价咨询费不足2000元的按2000元收取。</w:t>
            </w:r>
          </w:p>
        </w:tc>
        <w:tc>
          <w:tcPr>
            <w:tcW w:w="452" w:type="pct"/>
            <w:tcBorders>
              <w:top w:val="inset" w:color="333333" w:sz="6" w:space="0"/>
              <w:left w:val="nil"/>
              <w:bottom w:val="inset" w:color="333333" w:sz="6" w:space="0"/>
              <w:right w:val="inset" w:color="333333" w:sz="6" w:space="0"/>
            </w:tcBorders>
            <w:vAlign w:val="center"/>
          </w:tcPr>
          <w:p w14:paraId="6148A730">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09DDAEED">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390" w:hRule="atLeast"/>
        </w:trPr>
        <w:tc>
          <w:tcPr>
            <w:tcW w:w="206" w:type="pct"/>
            <w:vMerge w:val="continue"/>
            <w:tcBorders>
              <w:left w:val="inset" w:color="333333" w:sz="6" w:space="0"/>
              <w:right w:val="inset" w:color="333333" w:sz="6" w:space="0"/>
            </w:tcBorders>
            <w:vAlign w:val="center"/>
          </w:tcPr>
          <w:p w14:paraId="5F8D82CF">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4341" w:type="pct"/>
            <w:gridSpan w:val="11"/>
            <w:tcBorders>
              <w:top w:val="inset" w:color="333333" w:sz="6" w:space="0"/>
              <w:left w:val="nil"/>
              <w:bottom w:val="inset" w:color="333333" w:sz="6" w:space="0"/>
              <w:right w:val="inset" w:color="333333" w:sz="6" w:space="0"/>
            </w:tcBorders>
            <w:vAlign w:val="center"/>
          </w:tcPr>
          <w:p w14:paraId="3B5BC83C">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3.工程主材无论是否计入工程造价，均应计入取费基数。合同包干价加签证项目，包干价部分应计入取费基数。</w:t>
            </w:r>
          </w:p>
        </w:tc>
        <w:tc>
          <w:tcPr>
            <w:tcW w:w="452" w:type="pct"/>
            <w:tcBorders>
              <w:top w:val="inset" w:color="333333" w:sz="6" w:space="0"/>
              <w:left w:val="nil"/>
              <w:bottom w:val="inset" w:color="333333" w:sz="6" w:space="0"/>
              <w:right w:val="inset" w:color="333333" w:sz="6" w:space="0"/>
            </w:tcBorders>
            <w:vAlign w:val="center"/>
          </w:tcPr>
          <w:p w14:paraId="5704AE8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r w14:paraId="1EF78714">
        <w:tblPrEx>
          <w:tblBorders>
            <w:top w:val="outset" w:color="333333" w:sz="6" w:space="0"/>
            <w:left w:val="outset" w:color="333333" w:sz="6" w:space="0"/>
            <w:bottom w:val="outset" w:color="333333" w:sz="6" w:space="0"/>
            <w:right w:val="outset" w:color="333333" w:sz="6" w:space="0"/>
            <w:insideH w:val="outset" w:color="333333" w:sz="6" w:space="0"/>
            <w:insideV w:val="outset" w:color="333333" w:sz="6" w:space="0"/>
          </w:tblBorders>
          <w:tblCellMar>
            <w:top w:w="0" w:type="dxa"/>
            <w:left w:w="0" w:type="dxa"/>
            <w:bottom w:w="0" w:type="dxa"/>
            <w:right w:w="0" w:type="dxa"/>
          </w:tblCellMar>
        </w:tblPrEx>
        <w:trPr>
          <w:trHeight w:val="435" w:hRule="atLeast"/>
        </w:trPr>
        <w:tc>
          <w:tcPr>
            <w:tcW w:w="206" w:type="pct"/>
            <w:vMerge w:val="continue"/>
            <w:tcBorders>
              <w:left w:val="inset" w:color="333333" w:sz="6" w:space="0"/>
              <w:bottom w:val="inset" w:color="333333" w:sz="6" w:space="0"/>
              <w:right w:val="inset" w:color="333333" w:sz="6" w:space="0"/>
            </w:tcBorders>
            <w:vAlign w:val="center"/>
          </w:tcPr>
          <w:p w14:paraId="4A284E4B">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c>
          <w:tcPr>
            <w:tcW w:w="4341" w:type="pct"/>
            <w:gridSpan w:val="11"/>
            <w:tcBorders>
              <w:top w:val="inset" w:color="333333" w:sz="6" w:space="0"/>
              <w:left w:val="nil"/>
              <w:bottom w:val="inset" w:color="333333" w:sz="6" w:space="0"/>
              <w:right w:val="inset" w:color="333333" w:sz="6" w:space="0"/>
            </w:tcBorders>
            <w:vAlign w:val="center"/>
          </w:tcPr>
          <w:p w14:paraId="08AA4657">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4.工程预算的编制或审核、工程结算的编制或审核的收费标准不包括钢筋及预埋件计算，凡要求钢筋及预埋件计算的按相对应的收费标准另行收费。</w:t>
            </w:r>
          </w:p>
        </w:tc>
        <w:tc>
          <w:tcPr>
            <w:tcW w:w="452" w:type="pct"/>
            <w:tcBorders>
              <w:top w:val="inset" w:color="333333" w:sz="6" w:space="0"/>
              <w:left w:val="nil"/>
              <w:bottom w:val="inset" w:color="333333" w:sz="6" w:space="0"/>
              <w:right w:val="inset" w:color="333333" w:sz="6" w:space="0"/>
            </w:tcBorders>
            <w:vAlign w:val="center"/>
          </w:tcPr>
          <w:p w14:paraId="2B8BF83E">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spacing w:val="0"/>
                <w:sz w:val="21"/>
                <w:szCs w:val="21"/>
                <w:highlight w:val="none"/>
              </w:rPr>
            </w:pPr>
          </w:p>
        </w:tc>
      </w:tr>
    </w:tbl>
    <w:p w14:paraId="28C80E25">
      <w:pPr>
        <w:rPr>
          <w:rFonts w:hint="eastAsia" w:ascii="宋体" w:hAnsi="宋体" w:eastAsia="宋体" w:cs="宋体"/>
          <w:color w:val="auto"/>
          <w:spacing w:val="7"/>
          <w:kern w:val="2"/>
          <w:sz w:val="21"/>
          <w:szCs w:val="21"/>
          <w:highlight w:val="none"/>
        </w:rPr>
        <w:sectPr>
          <w:pgSz w:w="16838" w:h="11906" w:orient="landscape"/>
          <w:pgMar w:top="1380" w:right="1440" w:bottom="1463" w:left="1440" w:header="851" w:footer="992" w:gutter="0"/>
          <w:cols w:space="720" w:num="1"/>
          <w:titlePg/>
          <w:docGrid w:type="lines" w:linePitch="312" w:charSpace="0"/>
        </w:sectPr>
      </w:pPr>
    </w:p>
    <w:p w14:paraId="76DA5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bCs/>
          <w:color w:val="auto"/>
          <w:spacing w:val="7"/>
          <w:kern w:val="2"/>
          <w:sz w:val="21"/>
          <w:szCs w:val="21"/>
          <w:highlight w:val="none"/>
          <w:lang w:val="en-US" w:eastAsia="zh-CN" w:bidi="ar"/>
        </w:rPr>
        <w:t>附件2.考核表</w:t>
      </w:r>
    </w:p>
    <w:p w14:paraId="6FEE1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31" w:rightChars="15"/>
        <w:contextualSpacing/>
        <w:jc w:val="center"/>
        <w:textAlignment w:val="auto"/>
        <w:outlineLvl w:val="9"/>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8"/>
          <w:szCs w:val="44"/>
          <w:highlight w:val="none"/>
          <w:lang w:val="en-US" w:eastAsia="zh-CN" w:bidi="ar"/>
        </w:rPr>
        <w:t>考核表</w:t>
      </w:r>
    </w:p>
    <w:p w14:paraId="46F34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考核单位：                       被考核单位：                             日期：</w:t>
      </w:r>
    </w:p>
    <w:p w14:paraId="76EE3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olor w:val="auto"/>
          <w:kern w:val="2"/>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 xml:space="preserve">项目名称： </w:t>
      </w:r>
    </w:p>
    <w:tbl>
      <w:tblPr>
        <w:tblStyle w:val="38"/>
        <w:tblW w:w="514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7"/>
        <w:gridCol w:w="769"/>
        <w:gridCol w:w="699"/>
        <w:gridCol w:w="7624"/>
        <w:gridCol w:w="1096"/>
      </w:tblGrid>
      <w:tr w14:paraId="3F31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21" w:type="pct"/>
            <w:shd w:val="clear" w:color="auto" w:fill="auto"/>
            <w:vAlign w:val="center"/>
          </w:tcPr>
          <w:p w14:paraId="15A036C6">
            <w:pPr>
              <w:spacing w:line="240" w:lineRule="exact"/>
              <w:jc w:val="center"/>
              <w:rPr>
                <w:rFonts w:ascii="Times New Roman" w:hAnsi="Times New Roman" w:eastAsia="仿宋_GB2312" w:cs="Times New Roman"/>
                <w:b/>
                <w:color w:val="auto"/>
                <w:sz w:val="20"/>
                <w:szCs w:val="20"/>
              </w:rPr>
            </w:pPr>
            <w:r>
              <w:rPr>
                <w:rFonts w:ascii="Times New Roman" w:hAnsi="Times New Roman" w:eastAsia="仿宋_GB2312" w:cs="Times New Roman"/>
                <w:b/>
                <w:color w:val="auto"/>
                <w:sz w:val="20"/>
                <w:szCs w:val="20"/>
              </w:rPr>
              <w:t>序号</w:t>
            </w:r>
          </w:p>
        </w:tc>
        <w:tc>
          <w:tcPr>
            <w:tcW w:w="348" w:type="pct"/>
            <w:shd w:val="clear" w:color="auto" w:fill="auto"/>
            <w:vAlign w:val="center"/>
          </w:tcPr>
          <w:p w14:paraId="5919C148">
            <w:pPr>
              <w:spacing w:line="240" w:lineRule="exact"/>
              <w:jc w:val="center"/>
              <w:rPr>
                <w:rFonts w:ascii="Times New Roman" w:hAnsi="Times New Roman" w:eastAsia="仿宋_GB2312" w:cs="Times New Roman"/>
                <w:b/>
                <w:color w:val="auto"/>
                <w:sz w:val="20"/>
                <w:szCs w:val="20"/>
              </w:rPr>
            </w:pPr>
            <w:r>
              <w:rPr>
                <w:rFonts w:ascii="Times New Roman" w:hAnsi="Times New Roman" w:eastAsia="仿宋_GB2312" w:cs="Times New Roman"/>
                <w:b/>
                <w:color w:val="auto"/>
                <w:sz w:val="20"/>
                <w:szCs w:val="20"/>
              </w:rPr>
              <w:t>评价内容</w:t>
            </w:r>
          </w:p>
        </w:tc>
        <w:tc>
          <w:tcPr>
            <w:tcW w:w="317" w:type="pct"/>
            <w:shd w:val="clear" w:color="auto" w:fill="auto"/>
            <w:vAlign w:val="center"/>
          </w:tcPr>
          <w:p w14:paraId="6851938D">
            <w:pPr>
              <w:spacing w:line="240" w:lineRule="exact"/>
              <w:jc w:val="center"/>
              <w:rPr>
                <w:rFonts w:ascii="Times New Roman" w:hAnsi="Times New Roman" w:eastAsia="仿宋_GB2312" w:cs="Times New Roman"/>
                <w:b/>
                <w:color w:val="auto"/>
                <w:sz w:val="20"/>
                <w:szCs w:val="20"/>
              </w:rPr>
            </w:pPr>
            <w:r>
              <w:rPr>
                <w:rFonts w:ascii="Times New Roman" w:hAnsi="Times New Roman" w:eastAsia="仿宋_GB2312" w:cs="Times New Roman"/>
                <w:b/>
                <w:color w:val="auto"/>
                <w:sz w:val="20"/>
                <w:szCs w:val="20"/>
              </w:rPr>
              <w:t>各项分值</w:t>
            </w:r>
          </w:p>
        </w:tc>
        <w:tc>
          <w:tcPr>
            <w:tcW w:w="3459" w:type="pct"/>
            <w:shd w:val="clear" w:color="auto" w:fill="auto"/>
            <w:vAlign w:val="center"/>
          </w:tcPr>
          <w:p w14:paraId="08E2C78E">
            <w:pPr>
              <w:spacing w:line="240" w:lineRule="exact"/>
              <w:jc w:val="center"/>
              <w:rPr>
                <w:rFonts w:ascii="Times New Roman" w:hAnsi="Times New Roman" w:eastAsia="仿宋_GB2312" w:cs="Times New Roman"/>
                <w:b/>
                <w:color w:val="auto"/>
                <w:sz w:val="20"/>
                <w:szCs w:val="20"/>
              </w:rPr>
            </w:pPr>
            <w:r>
              <w:rPr>
                <w:rFonts w:ascii="Times New Roman" w:hAnsi="Times New Roman" w:eastAsia="仿宋_GB2312" w:cs="Times New Roman"/>
                <w:b/>
                <w:color w:val="auto"/>
                <w:sz w:val="20"/>
                <w:szCs w:val="20"/>
              </w:rPr>
              <w:t>具体内容</w:t>
            </w:r>
          </w:p>
        </w:tc>
        <w:tc>
          <w:tcPr>
            <w:tcW w:w="497" w:type="pct"/>
            <w:shd w:val="clear" w:color="auto" w:fill="auto"/>
            <w:vAlign w:val="center"/>
          </w:tcPr>
          <w:p w14:paraId="4F1DC4C9">
            <w:pPr>
              <w:spacing w:line="240" w:lineRule="exact"/>
              <w:jc w:val="center"/>
              <w:rPr>
                <w:rFonts w:ascii="Times New Roman" w:hAnsi="Times New Roman" w:eastAsia="仿宋_GB2312" w:cs="Times New Roman"/>
                <w:b/>
                <w:color w:val="auto"/>
                <w:sz w:val="20"/>
                <w:szCs w:val="20"/>
              </w:rPr>
            </w:pPr>
            <w:r>
              <w:rPr>
                <w:rFonts w:ascii="Times New Roman" w:hAnsi="Times New Roman" w:eastAsia="仿宋_GB2312" w:cs="Times New Roman"/>
                <w:b/>
                <w:color w:val="auto"/>
                <w:sz w:val="20"/>
                <w:szCs w:val="20"/>
              </w:rPr>
              <w:t>综合分值</w:t>
            </w:r>
          </w:p>
        </w:tc>
      </w:tr>
      <w:tr w14:paraId="23E5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1" w:type="pct"/>
            <w:vMerge w:val="restart"/>
            <w:shd w:val="clear" w:color="auto" w:fill="auto"/>
            <w:vAlign w:val="center"/>
          </w:tcPr>
          <w:p w14:paraId="492FEEC3">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1</w:t>
            </w:r>
          </w:p>
        </w:tc>
        <w:tc>
          <w:tcPr>
            <w:tcW w:w="348" w:type="pct"/>
            <w:vMerge w:val="restart"/>
            <w:shd w:val="clear" w:color="auto" w:fill="auto"/>
            <w:vAlign w:val="center"/>
          </w:tcPr>
          <w:p w14:paraId="109C9AC4">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业务水平</w:t>
            </w:r>
          </w:p>
        </w:tc>
        <w:tc>
          <w:tcPr>
            <w:tcW w:w="317" w:type="pct"/>
            <w:vMerge w:val="restart"/>
            <w:shd w:val="clear" w:color="auto" w:fill="auto"/>
            <w:vAlign w:val="center"/>
          </w:tcPr>
          <w:p w14:paraId="18AA20A6">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18</w:t>
            </w:r>
          </w:p>
        </w:tc>
        <w:tc>
          <w:tcPr>
            <w:tcW w:w="3459" w:type="pct"/>
            <w:shd w:val="clear" w:color="auto" w:fill="auto"/>
            <w:vAlign w:val="center"/>
          </w:tcPr>
          <w:p w14:paraId="5A415F0B">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在从事造价咨询服务过程中，项目配置的相应专业人员与合同中 “项目操作人员配置一览表”不符，且业务能力较差的扣4分；每一人不符合扣1分，最高扣4分。</w:t>
            </w:r>
          </w:p>
        </w:tc>
        <w:tc>
          <w:tcPr>
            <w:tcW w:w="497" w:type="pct"/>
            <w:shd w:val="clear" w:color="auto" w:fill="auto"/>
            <w:vAlign w:val="center"/>
          </w:tcPr>
          <w:p w14:paraId="30578211">
            <w:pPr>
              <w:widowControl/>
              <w:spacing w:line="240" w:lineRule="exact"/>
              <w:jc w:val="center"/>
              <w:rPr>
                <w:rFonts w:ascii="Times New Roman" w:hAnsi="Times New Roman" w:eastAsia="仿宋_GB2312" w:cs="Times New Roman"/>
                <w:color w:val="auto"/>
                <w:sz w:val="20"/>
                <w:szCs w:val="20"/>
              </w:rPr>
            </w:pPr>
          </w:p>
        </w:tc>
      </w:tr>
      <w:tr w14:paraId="5D90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6DFCF466">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41726334">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71A12EBC">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451D11D2">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未在规定时间内全面熟悉施工图纸，未对项目所采用的技术、工艺、设备等详细了解的最高扣3分；</w:t>
            </w:r>
          </w:p>
        </w:tc>
        <w:tc>
          <w:tcPr>
            <w:tcW w:w="497" w:type="pct"/>
            <w:shd w:val="clear" w:color="auto" w:fill="auto"/>
            <w:vAlign w:val="center"/>
          </w:tcPr>
          <w:p w14:paraId="42E01A6E">
            <w:pPr>
              <w:widowControl/>
              <w:spacing w:line="240" w:lineRule="exact"/>
              <w:jc w:val="center"/>
              <w:rPr>
                <w:rFonts w:ascii="Times New Roman" w:hAnsi="Times New Roman" w:eastAsia="仿宋_GB2312" w:cs="Times New Roman"/>
                <w:color w:val="auto"/>
                <w:sz w:val="20"/>
                <w:szCs w:val="20"/>
              </w:rPr>
            </w:pPr>
          </w:p>
        </w:tc>
      </w:tr>
      <w:tr w14:paraId="6409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1" w:type="pct"/>
            <w:vMerge w:val="continue"/>
            <w:shd w:val="clear" w:color="auto" w:fill="auto"/>
            <w:vAlign w:val="center"/>
          </w:tcPr>
          <w:p w14:paraId="0603F3BB">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30141395">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0CABF896">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4ADF266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未能及时踏勘现场，踏勘现场未留取照片或录像且不清晰的最高扣3分；</w:t>
            </w:r>
          </w:p>
        </w:tc>
        <w:tc>
          <w:tcPr>
            <w:tcW w:w="497" w:type="pct"/>
            <w:shd w:val="clear" w:color="auto" w:fill="auto"/>
            <w:vAlign w:val="center"/>
          </w:tcPr>
          <w:p w14:paraId="5C7F411C">
            <w:pPr>
              <w:widowControl/>
              <w:spacing w:line="240" w:lineRule="exact"/>
              <w:jc w:val="center"/>
              <w:rPr>
                <w:rFonts w:ascii="Times New Roman" w:hAnsi="Times New Roman" w:eastAsia="仿宋_GB2312" w:cs="Times New Roman"/>
                <w:color w:val="auto"/>
                <w:sz w:val="20"/>
                <w:szCs w:val="20"/>
              </w:rPr>
            </w:pPr>
          </w:p>
        </w:tc>
      </w:tr>
      <w:tr w14:paraId="397E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0F945CDF">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681A5EB5">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08881381">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6258AFCF">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未能积极主动就图纸中的设计缺陷（图纸与现状不符、前后矛盾、影响工程量计算、影响清单编制、措施费用计取等有关问题）在踏勘完工程现场后两天内提出书面意见的最高扣5分；</w:t>
            </w:r>
          </w:p>
        </w:tc>
        <w:tc>
          <w:tcPr>
            <w:tcW w:w="497" w:type="pct"/>
            <w:shd w:val="clear" w:color="auto" w:fill="auto"/>
            <w:vAlign w:val="center"/>
          </w:tcPr>
          <w:p w14:paraId="3F97FA49">
            <w:pPr>
              <w:widowControl/>
              <w:spacing w:line="240" w:lineRule="exact"/>
              <w:jc w:val="center"/>
              <w:rPr>
                <w:rFonts w:ascii="Times New Roman" w:hAnsi="Times New Roman" w:eastAsia="仿宋_GB2312" w:cs="Times New Roman"/>
                <w:color w:val="auto"/>
                <w:sz w:val="20"/>
                <w:szCs w:val="20"/>
              </w:rPr>
            </w:pPr>
          </w:p>
        </w:tc>
      </w:tr>
      <w:tr w14:paraId="09D5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1415C657">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6368FC6F">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26061E2E">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75E9F05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未开展市场调查，了解价格信息，对于非常规项目未能作工料单价分析的扣最高扣3分。</w:t>
            </w:r>
          </w:p>
        </w:tc>
        <w:tc>
          <w:tcPr>
            <w:tcW w:w="497" w:type="pct"/>
            <w:shd w:val="clear" w:color="auto" w:fill="auto"/>
            <w:vAlign w:val="center"/>
          </w:tcPr>
          <w:p w14:paraId="55881AAC">
            <w:pPr>
              <w:widowControl/>
              <w:spacing w:line="240" w:lineRule="exact"/>
              <w:jc w:val="center"/>
              <w:rPr>
                <w:rFonts w:ascii="Times New Roman" w:hAnsi="Times New Roman" w:eastAsia="仿宋_GB2312" w:cs="Times New Roman"/>
                <w:color w:val="auto"/>
                <w:sz w:val="20"/>
                <w:szCs w:val="20"/>
              </w:rPr>
            </w:pPr>
          </w:p>
        </w:tc>
      </w:tr>
      <w:tr w14:paraId="71BA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restart"/>
            <w:shd w:val="clear" w:color="auto" w:fill="auto"/>
            <w:vAlign w:val="center"/>
          </w:tcPr>
          <w:p w14:paraId="0760AD1F">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2</w:t>
            </w:r>
          </w:p>
        </w:tc>
        <w:tc>
          <w:tcPr>
            <w:tcW w:w="348" w:type="pct"/>
            <w:vMerge w:val="restart"/>
            <w:shd w:val="clear" w:color="auto" w:fill="auto"/>
            <w:vAlign w:val="center"/>
          </w:tcPr>
          <w:p w14:paraId="79738C51">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完成质量</w:t>
            </w:r>
          </w:p>
        </w:tc>
        <w:tc>
          <w:tcPr>
            <w:tcW w:w="317" w:type="pct"/>
            <w:vMerge w:val="restart"/>
            <w:shd w:val="clear" w:color="auto" w:fill="auto"/>
            <w:vAlign w:val="center"/>
          </w:tcPr>
          <w:p w14:paraId="522247BF">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50</w:t>
            </w:r>
          </w:p>
        </w:tc>
        <w:tc>
          <w:tcPr>
            <w:tcW w:w="3459" w:type="pct"/>
            <w:shd w:val="clear" w:color="auto" w:fill="auto"/>
            <w:vAlign w:val="center"/>
          </w:tcPr>
          <w:p w14:paraId="2C47459C">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未按规范计算工程量且计算错误的扣</w:t>
            </w:r>
            <w:r>
              <w:rPr>
                <w:rFonts w:hint="eastAsia" w:ascii="Times New Roman" w:hAnsi="Times New Roman" w:eastAsia="仿宋_GB2312" w:cs="Times New Roman"/>
                <w:color w:val="auto"/>
                <w:sz w:val="20"/>
                <w:szCs w:val="20"/>
                <w:lang w:val="en-US" w:eastAsia="zh-CN"/>
              </w:rPr>
              <w:t>2</w:t>
            </w:r>
            <w:r>
              <w:rPr>
                <w:rFonts w:ascii="Times New Roman" w:hAnsi="Times New Roman" w:eastAsia="仿宋_GB2312" w:cs="Times New Roman"/>
                <w:color w:val="auto"/>
                <w:sz w:val="20"/>
                <w:szCs w:val="20"/>
              </w:rPr>
              <w:t>分；未有工程量计算式的扣</w:t>
            </w:r>
            <w:r>
              <w:rPr>
                <w:rFonts w:hint="eastAsia" w:ascii="Times New Roman" w:hAnsi="Times New Roman" w:eastAsia="仿宋_GB2312" w:cs="Times New Roman"/>
                <w:color w:val="auto"/>
                <w:sz w:val="20"/>
                <w:szCs w:val="20"/>
                <w:lang w:val="en-US" w:eastAsia="zh-CN"/>
              </w:rPr>
              <w:t>2</w:t>
            </w:r>
            <w:r>
              <w:rPr>
                <w:rFonts w:ascii="Times New Roman" w:hAnsi="Times New Roman" w:eastAsia="仿宋_GB2312" w:cs="Times New Roman"/>
                <w:color w:val="auto"/>
                <w:sz w:val="20"/>
                <w:szCs w:val="20"/>
              </w:rPr>
              <w:t>分；未采用图形算量或CAD算量；未汇总成Excel表格且表格之间沟稽关系不正确等扣1～3分；</w:t>
            </w:r>
          </w:p>
        </w:tc>
        <w:tc>
          <w:tcPr>
            <w:tcW w:w="497" w:type="pct"/>
            <w:shd w:val="clear" w:color="auto" w:fill="auto"/>
            <w:vAlign w:val="center"/>
          </w:tcPr>
          <w:p w14:paraId="2209B96F">
            <w:pPr>
              <w:widowControl/>
              <w:spacing w:line="240" w:lineRule="exact"/>
              <w:jc w:val="center"/>
              <w:rPr>
                <w:rFonts w:ascii="Times New Roman" w:hAnsi="Times New Roman" w:eastAsia="仿宋_GB2312" w:cs="Times New Roman"/>
                <w:color w:val="auto"/>
                <w:sz w:val="20"/>
                <w:szCs w:val="20"/>
              </w:rPr>
            </w:pPr>
          </w:p>
        </w:tc>
      </w:tr>
      <w:tr w14:paraId="7CCA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555B001A">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2CE1F2AE">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3D520CFF">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0226C63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成果文件不符合计价规范，计价单位有误，套用定额有误（如定额工程量有误，擅自修改工料机含量等），项目特征描述内容不全面、不准确，与设计图纸不符等，导致委托人与项目承包单位发生争议，或造成委托人经济损失的最高扣</w:t>
            </w:r>
            <w:r>
              <w:rPr>
                <w:rFonts w:hint="eastAsia" w:ascii="Times New Roman" w:hAnsi="Times New Roman" w:eastAsia="仿宋_GB2312" w:cs="Times New Roman"/>
                <w:color w:val="auto"/>
                <w:sz w:val="20"/>
                <w:szCs w:val="20"/>
                <w:lang w:val="en-US" w:eastAsia="zh-CN"/>
              </w:rPr>
              <w:t>7</w:t>
            </w:r>
            <w:r>
              <w:rPr>
                <w:rFonts w:ascii="Times New Roman" w:hAnsi="Times New Roman" w:eastAsia="仿宋_GB2312" w:cs="Times New Roman"/>
                <w:color w:val="auto"/>
                <w:sz w:val="20"/>
                <w:szCs w:val="20"/>
              </w:rPr>
              <w:t>分；</w:t>
            </w:r>
          </w:p>
        </w:tc>
        <w:tc>
          <w:tcPr>
            <w:tcW w:w="497" w:type="pct"/>
            <w:shd w:val="clear" w:color="auto" w:fill="auto"/>
            <w:vAlign w:val="center"/>
          </w:tcPr>
          <w:p w14:paraId="69B372B8">
            <w:pPr>
              <w:widowControl/>
              <w:spacing w:line="240" w:lineRule="exact"/>
              <w:jc w:val="center"/>
              <w:rPr>
                <w:rFonts w:ascii="Times New Roman" w:hAnsi="Times New Roman" w:eastAsia="仿宋_GB2312" w:cs="Times New Roman"/>
                <w:color w:val="auto"/>
                <w:sz w:val="20"/>
                <w:szCs w:val="20"/>
              </w:rPr>
            </w:pPr>
          </w:p>
        </w:tc>
      </w:tr>
      <w:tr w14:paraId="01F3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11008FAB">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0C53CF2D">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5D86699A">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7039B40D">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图纸中有措施项目设计内容，漏计措施项目费，费用超10万元（含），扣3分；费用超50万元（含），扣5分；费用超100万元（含），扣</w:t>
            </w:r>
            <w:r>
              <w:rPr>
                <w:rFonts w:hint="eastAsia" w:ascii="Times New Roman" w:hAnsi="Times New Roman" w:eastAsia="仿宋_GB2312" w:cs="Times New Roman"/>
                <w:color w:val="auto"/>
                <w:sz w:val="20"/>
                <w:szCs w:val="20"/>
                <w:lang w:val="en-US" w:eastAsia="zh-CN"/>
              </w:rPr>
              <w:t>7</w:t>
            </w:r>
            <w:r>
              <w:rPr>
                <w:rFonts w:ascii="Times New Roman" w:hAnsi="Times New Roman" w:eastAsia="仿宋_GB2312" w:cs="Times New Roman"/>
                <w:color w:val="auto"/>
                <w:sz w:val="20"/>
                <w:szCs w:val="20"/>
              </w:rPr>
              <w:t>分；</w:t>
            </w:r>
          </w:p>
        </w:tc>
        <w:tc>
          <w:tcPr>
            <w:tcW w:w="497" w:type="pct"/>
            <w:shd w:val="clear" w:color="auto" w:fill="auto"/>
            <w:vAlign w:val="center"/>
          </w:tcPr>
          <w:p w14:paraId="4637E397">
            <w:pPr>
              <w:widowControl/>
              <w:spacing w:line="240" w:lineRule="exact"/>
              <w:jc w:val="center"/>
              <w:rPr>
                <w:rFonts w:ascii="Times New Roman" w:hAnsi="Times New Roman" w:eastAsia="仿宋_GB2312" w:cs="Times New Roman"/>
                <w:color w:val="auto"/>
                <w:sz w:val="20"/>
                <w:szCs w:val="20"/>
              </w:rPr>
            </w:pPr>
          </w:p>
        </w:tc>
      </w:tr>
      <w:tr w14:paraId="3A28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2D22E5EB">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0E23FB9D">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684DBF13">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4C4C5CD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未根据工程位置、委托人的工期要求、常规的施工组织设计（施工方案）等考虑措施费用，措施费计算错误或漏计的，费用超10万元（含），扣3分；费用超50万元（含），扣5分；费用超100万元，扣</w:t>
            </w:r>
            <w:r>
              <w:rPr>
                <w:rFonts w:hint="eastAsia" w:ascii="Times New Roman" w:hAnsi="Times New Roman" w:eastAsia="仿宋_GB2312" w:cs="Times New Roman"/>
                <w:color w:val="auto"/>
                <w:sz w:val="20"/>
                <w:szCs w:val="20"/>
                <w:lang w:val="en-US" w:eastAsia="zh-CN"/>
              </w:rPr>
              <w:t>7</w:t>
            </w:r>
            <w:r>
              <w:rPr>
                <w:rFonts w:ascii="Times New Roman" w:hAnsi="Times New Roman" w:eastAsia="仿宋_GB2312" w:cs="Times New Roman"/>
                <w:color w:val="auto"/>
                <w:sz w:val="20"/>
                <w:szCs w:val="20"/>
              </w:rPr>
              <w:t>分；</w:t>
            </w:r>
          </w:p>
        </w:tc>
        <w:tc>
          <w:tcPr>
            <w:tcW w:w="497" w:type="pct"/>
            <w:shd w:val="clear" w:color="auto" w:fill="auto"/>
            <w:vAlign w:val="center"/>
          </w:tcPr>
          <w:p w14:paraId="0AB4179B">
            <w:pPr>
              <w:widowControl/>
              <w:spacing w:line="240" w:lineRule="exact"/>
              <w:jc w:val="center"/>
              <w:rPr>
                <w:rFonts w:ascii="Times New Roman" w:hAnsi="Times New Roman" w:eastAsia="仿宋_GB2312" w:cs="Times New Roman"/>
                <w:color w:val="auto"/>
                <w:sz w:val="20"/>
                <w:szCs w:val="20"/>
              </w:rPr>
            </w:pPr>
          </w:p>
        </w:tc>
      </w:tr>
      <w:tr w14:paraId="63D2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562A7EE9">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605067AC">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67FBD702">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6DAA899D">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成果文件编制说明不严谨、不详细、范围不完整，并因此导致施工过程产生合同纠纷每出现一次扣</w:t>
            </w:r>
            <w:r>
              <w:rPr>
                <w:rFonts w:hint="eastAsia" w:ascii="Times New Roman" w:hAnsi="Times New Roman" w:eastAsia="仿宋_GB2312" w:cs="Times New Roman"/>
                <w:color w:val="auto"/>
                <w:sz w:val="20"/>
                <w:szCs w:val="20"/>
                <w:lang w:val="en-US" w:eastAsia="zh-CN"/>
              </w:rPr>
              <w:t>4</w:t>
            </w:r>
            <w:r>
              <w:rPr>
                <w:rFonts w:ascii="Times New Roman" w:hAnsi="Times New Roman" w:eastAsia="仿宋_GB2312" w:cs="Times New Roman"/>
                <w:color w:val="auto"/>
                <w:sz w:val="20"/>
                <w:szCs w:val="20"/>
              </w:rPr>
              <w:t>分,最高扣</w:t>
            </w:r>
            <w:r>
              <w:rPr>
                <w:rFonts w:hint="eastAsia" w:ascii="Times New Roman" w:hAnsi="Times New Roman" w:eastAsia="仿宋_GB2312" w:cs="Times New Roman"/>
                <w:color w:val="auto"/>
                <w:sz w:val="20"/>
                <w:szCs w:val="20"/>
                <w:lang w:val="en-US" w:eastAsia="zh-CN"/>
              </w:rPr>
              <w:t>8</w:t>
            </w:r>
            <w:r>
              <w:rPr>
                <w:rFonts w:ascii="Times New Roman" w:hAnsi="Times New Roman" w:eastAsia="仿宋_GB2312" w:cs="Times New Roman"/>
                <w:color w:val="auto"/>
                <w:sz w:val="20"/>
                <w:szCs w:val="20"/>
              </w:rPr>
              <w:t>分；</w:t>
            </w:r>
          </w:p>
        </w:tc>
        <w:tc>
          <w:tcPr>
            <w:tcW w:w="497" w:type="pct"/>
            <w:shd w:val="clear" w:color="auto" w:fill="auto"/>
            <w:vAlign w:val="center"/>
          </w:tcPr>
          <w:p w14:paraId="38C5B583">
            <w:pPr>
              <w:widowControl/>
              <w:spacing w:line="240" w:lineRule="exact"/>
              <w:jc w:val="center"/>
              <w:rPr>
                <w:rFonts w:ascii="Times New Roman" w:hAnsi="Times New Roman" w:eastAsia="仿宋_GB2312" w:cs="Times New Roman"/>
                <w:color w:val="auto"/>
                <w:sz w:val="20"/>
                <w:szCs w:val="20"/>
              </w:rPr>
            </w:pPr>
          </w:p>
        </w:tc>
      </w:tr>
      <w:tr w14:paraId="7AA2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22FF995D">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6AB7DEEC">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5FF1FBE0">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0255718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材料价需询价的，未询三家或三家以上(特殊材料除外)（须记录厂家、联系人、联系电话信息）最高扣3分；</w:t>
            </w:r>
          </w:p>
        </w:tc>
        <w:tc>
          <w:tcPr>
            <w:tcW w:w="497" w:type="pct"/>
            <w:shd w:val="clear" w:color="auto" w:fill="auto"/>
            <w:vAlign w:val="center"/>
          </w:tcPr>
          <w:p w14:paraId="51B722F0">
            <w:pPr>
              <w:widowControl/>
              <w:spacing w:line="240" w:lineRule="exact"/>
              <w:jc w:val="center"/>
              <w:rPr>
                <w:rFonts w:ascii="Times New Roman" w:hAnsi="Times New Roman" w:eastAsia="仿宋_GB2312" w:cs="Times New Roman"/>
                <w:color w:val="auto"/>
                <w:sz w:val="20"/>
                <w:szCs w:val="20"/>
              </w:rPr>
            </w:pPr>
          </w:p>
        </w:tc>
      </w:tr>
      <w:tr w14:paraId="230C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Merge w:val="continue"/>
            <w:shd w:val="clear" w:color="auto" w:fill="auto"/>
            <w:vAlign w:val="center"/>
          </w:tcPr>
          <w:p w14:paraId="319D8C7B">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121ECA74">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5DBF8E30">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40FA8C68">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非《东莞市工程造价信息》中材料价，因不询价而导致单价错误的，每出现一次扣</w:t>
            </w:r>
            <w:r>
              <w:rPr>
                <w:rFonts w:hint="eastAsia" w:ascii="Times New Roman" w:hAnsi="Times New Roman" w:eastAsia="仿宋_GB2312" w:cs="Times New Roman"/>
                <w:color w:val="auto"/>
                <w:sz w:val="20"/>
                <w:szCs w:val="20"/>
                <w:lang w:val="en-US" w:eastAsia="zh-CN"/>
              </w:rPr>
              <w:t>2</w:t>
            </w:r>
            <w:r>
              <w:rPr>
                <w:rFonts w:ascii="Times New Roman" w:hAnsi="Times New Roman" w:eastAsia="仿宋_GB2312" w:cs="Times New Roman"/>
                <w:color w:val="auto"/>
                <w:sz w:val="20"/>
                <w:szCs w:val="20"/>
              </w:rPr>
              <w:t>分，最高扣</w:t>
            </w:r>
            <w:r>
              <w:rPr>
                <w:rFonts w:hint="eastAsia" w:ascii="Times New Roman" w:hAnsi="Times New Roman" w:eastAsia="仿宋_GB2312" w:cs="Times New Roman"/>
                <w:color w:val="auto"/>
                <w:sz w:val="20"/>
                <w:szCs w:val="20"/>
                <w:lang w:val="en-US" w:eastAsia="zh-CN"/>
              </w:rPr>
              <w:t>4</w:t>
            </w:r>
            <w:r>
              <w:rPr>
                <w:rFonts w:ascii="Times New Roman" w:hAnsi="Times New Roman" w:eastAsia="仿宋_GB2312" w:cs="Times New Roman"/>
                <w:color w:val="auto"/>
                <w:sz w:val="20"/>
                <w:szCs w:val="20"/>
              </w:rPr>
              <w:t>分；</w:t>
            </w:r>
          </w:p>
        </w:tc>
        <w:tc>
          <w:tcPr>
            <w:tcW w:w="497" w:type="pct"/>
            <w:shd w:val="clear" w:color="auto" w:fill="auto"/>
            <w:vAlign w:val="center"/>
          </w:tcPr>
          <w:p w14:paraId="5EDB5FDD">
            <w:pPr>
              <w:widowControl/>
              <w:spacing w:line="240" w:lineRule="exact"/>
              <w:jc w:val="center"/>
              <w:rPr>
                <w:rFonts w:ascii="Times New Roman" w:hAnsi="Times New Roman" w:eastAsia="仿宋_GB2312" w:cs="Times New Roman"/>
                <w:color w:val="auto"/>
                <w:sz w:val="20"/>
                <w:szCs w:val="20"/>
              </w:rPr>
            </w:pPr>
          </w:p>
        </w:tc>
      </w:tr>
      <w:tr w14:paraId="5461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 w:type="pct"/>
            <w:vMerge w:val="continue"/>
            <w:shd w:val="clear" w:color="auto" w:fill="auto"/>
            <w:vAlign w:val="center"/>
          </w:tcPr>
          <w:p w14:paraId="7DDB4321">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09DC5186">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4856408E">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3078F7D4">
            <w:pPr>
              <w:widowControl/>
              <w:spacing w:line="240" w:lineRule="exact"/>
              <w:rPr>
                <w:rFonts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rPr>
              <w:t>未按委托人的要求在造价咨询服务过程中提交造价分析报告；所提交造价分析报告质量不达标；或最终造价成果文件不符合服务要求，最高扣7分</w:t>
            </w:r>
            <w:r>
              <w:rPr>
                <w:rFonts w:ascii="Times New Roman" w:hAnsi="Times New Roman" w:eastAsia="仿宋_GB2312" w:cs="Times New Roman"/>
                <w:color w:val="auto"/>
                <w:sz w:val="20"/>
                <w:szCs w:val="20"/>
              </w:rPr>
              <w:t>；</w:t>
            </w:r>
          </w:p>
        </w:tc>
        <w:tc>
          <w:tcPr>
            <w:tcW w:w="497" w:type="pct"/>
            <w:shd w:val="clear" w:color="auto" w:fill="auto"/>
            <w:vAlign w:val="center"/>
          </w:tcPr>
          <w:p w14:paraId="341B8893">
            <w:pPr>
              <w:widowControl/>
              <w:spacing w:line="240" w:lineRule="exact"/>
              <w:jc w:val="center"/>
              <w:rPr>
                <w:rFonts w:ascii="Times New Roman" w:hAnsi="Times New Roman" w:eastAsia="仿宋_GB2312" w:cs="Times New Roman"/>
                <w:color w:val="auto"/>
                <w:sz w:val="20"/>
                <w:szCs w:val="20"/>
              </w:rPr>
            </w:pPr>
          </w:p>
        </w:tc>
      </w:tr>
      <w:tr w14:paraId="48C5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21" w:type="pct"/>
            <w:vMerge w:val="restart"/>
            <w:shd w:val="clear" w:color="auto" w:fill="auto"/>
            <w:vAlign w:val="center"/>
          </w:tcPr>
          <w:p w14:paraId="41CD8509">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3</w:t>
            </w:r>
          </w:p>
        </w:tc>
        <w:tc>
          <w:tcPr>
            <w:tcW w:w="348" w:type="pct"/>
            <w:vMerge w:val="restart"/>
            <w:shd w:val="clear" w:color="auto" w:fill="auto"/>
            <w:vAlign w:val="center"/>
          </w:tcPr>
          <w:p w14:paraId="0D6BD3F7">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工作效率</w:t>
            </w:r>
          </w:p>
        </w:tc>
        <w:tc>
          <w:tcPr>
            <w:tcW w:w="317" w:type="pct"/>
            <w:vMerge w:val="restart"/>
            <w:shd w:val="clear" w:color="auto" w:fill="auto"/>
            <w:vAlign w:val="center"/>
          </w:tcPr>
          <w:p w14:paraId="14CEE574">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12</w:t>
            </w:r>
          </w:p>
        </w:tc>
        <w:tc>
          <w:tcPr>
            <w:tcW w:w="3459" w:type="pct"/>
            <w:shd w:val="clear" w:color="auto" w:fill="auto"/>
            <w:vAlign w:val="center"/>
          </w:tcPr>
          <w:p w14:paraId="568CF17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未按操作规程及时进行对数、现场查勘的最高扣2分；</w:t>
            </w:r>
          </w:p>
        </w:tc>
        <w:tc>
          <w:tcPr>
            <w:tcW w:w="497" w:type="pct"/>
            <w:shd w:val="clear" w:color="auto" w:fill="auto"/>
            <w:vAlign w:val="center"/>
          </w:tcPr>
          <w:p w14:paraId="7D3C3DFB">
            <w:pPr>
              <w:widowControl/>
              <w:spacing w:line="240" w:lineRule="exact"/>
              <w:jc w:val="center"/>
              <w:rPr>
                <w:rFonts w:ascii="Times New Roman" w:hAnsi="Times New Roman" w:eastAsia="仿宋_GB2312" w:cs="Times New Roman"/>
                <w:color w:val="auto"/>
                <w:sz w:val="20"/>
                <w:szCs w:val="20"/>
              </w:rPr>
            </w:pPr>
          </w:p>
        </w:tc>
      </w:tr>
      <w:tr w14:paraId="3FAA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21" w:type="pct"/>
            <w:vMerge w:val="continue"/>
            <w:shd w:val="clear" w:color="auto" w:fill="auto"/>
            <w:vAlign w:val="center"/>
          </w:tcPr>
          <w:p w14:paraId="237054B0">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3D47F951">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4198EFB2">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308F67A0">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对数后未做到及时修改，对反馈意见及时核实的最高扣2分；</w:t>
            </w:r>
          </w:p>
        </w:tc>
        <w:tc>
          <w:tcPr>
            <w:tcW w:w="497" w:type="pct"/>
            <w:shd w:val="clear" w:color="auto" w:fill="auto"/>
            <w:vAlign w:val="center"/>
          </w:tcPr>
          <w:p w14:paraId="414A3D7D">
            <w:pPr>
              <w:widowControl/>
              <w:spacing w:line="240" w:lineRule="exact"/>
              <w:jc w:val="center"/>
              <w:rPr>
                <w:rFonts w:ascii="Times New Roman" w:hAnsi="Times New Roman" w:eastAsia="仿宋_GB2312" w:cs="Times New Roman"/>
                <w:color w:val="auto"/>
                <w:sz w:val="20"/>
                <w:szCs w:val="20"/>
              </w:rPr>
            </w:pPr>
          </w:p>
        </w:tc>
      </w:tr>
      <w:tr w14:paraId="6AF4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 w:type="pct"/>
            <w:vMerge w:val="continue"/>
            <w:shd w:val="clear" w:color="auto" w:fill="auto"/>
            <w:vAlign w:val="center"/>
          </w:tcPr>
          <w:p w14:paraId="260BBAF4">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6930A55F">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6D8D3690">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4A6821BB">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对数后需要补充资料而未及时通知委托人补充相关资料，澄清有关疑问的最高扣4分；</w:t>
            </w:r>
          </w:p>
        </w:tc>
        <w:tc>
          <w:tcPr>
            <w:tcW w:w="497" w:type="pct"/>
            <w:shd w:val="clear" w:color="auto" w:fill="auto"/>
            <w:vAlign w:val="center"/>
          </w:tcPr>
          <w:p w14:paraId="490262CA">
            <w:pPr>
              <w:widowControl/>
              <w:spacing w:line="240" w:lineRule="exact"/>
              <w:jc w:val="center"/>
              <w:rPr>
                <w:rFonts w:ascii="Times New Roman" w:hAnsi="Times New Roman" w:eastAsia="仿宋_GB2312" w:cs="Times New Roman"/>
                <w:color w:val="auto"/>
                <w:sz w:val="20"/>
                <w:szCs w:val="20"/>
              </w:rPr>
            </w:pPr>
          </w:p>
        </w:tc>
      </w:tr>
      <w:tr w14:paraId="239E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21" w:type="pct"/>
            <w:vMerge w:val="continue"/>
            <w:shd w:val="clear" w:color="auto" w:fill="auto"/>
            <w:vAlign w:val="center"/>
          </w:tcPr>
          <w:p w14:paraId="2CCCBFD0">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6B57F1BC">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3E5CB365">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3ECB73E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未能严格按委托人的计划时间完成咨询任务的最高扣4分。</w:t>
            </w:r>
          </w:p>
        </w:tc>
        <w:tc>
          <w:tcPr>
            <w:tcW w:w="497" w:type="pct"/>
            <w:shd w:val="clear" w:color="auto" w:fill="auto"/>
            <w:vAlign w:val="center"/>
          </w:tcPr>
          <w:p w14:paraId="01BBDB31">
            <w:pPr>
              <w:widowControl/>
              <w:spacing w:line="240" w:lineRule="exact"/>
              <w:jc w:val="center"/>
              <w:rPr>
                <w:rFonts w:ascii="Times New Roman" w:hAnsi="Times New Roman" w:eastAsia="仿宋_GB2312" w:cs="Times New Roman"/>
                <w:color w:val="auto"/>
                <w:sz w:val="20"/>
                <w:szCs w:val="20"/>
              </w:rPr>
            </w:pPr>
          </w:p>
        </w:tc>
      </w:tr>
      <w:tr w14:paraId="42FC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 w:type="pct"/>
            <w:vMerge w:val="restart"/>
            <w:shd w:val="clear" w:color="auto" w:fill="auto"/>
            <w:vAlign w:val="center"/>
          </w:tcPr>
          <w:p w14:paraId="3E52ED86">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4</w:t>
            </w:r>
          </w:p>
        </w:tc>
        <w:tc>
          <w:tcPr>
            <w:tcW w:w="348" w:type="pct"/>
            <w:vMerge w:val="restart"/>
            <w:shd w:val="clear" w:color="auto" w:fill="auto"/>
            <w:vAlign w:val="center"/>
          </w:tcPr>
          <w:p w14:paraId="7FF6F863">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规范服务</w:t>
            </w:r>
          </w:p>
        </w:tc>
        <w:tc>
          <w:tcPr>
            <w:tcW w:w="317" w:type="pct"/>
            <w:vMerge w:val="restart"/>
            <w:shd w:val="clear" w:color="auto" w:fill="auto"/>
            <w:vAlign w:val="center"/>
          </w:tcPr>
          <w:p w14:paraId="4F56017A">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13</w:t>
            </w:r>
          </w:p>
        </w:tc>
        <w:tc>
          <w:tcPr>
            <w:tcW w:w="3459" w:type="pct"/>
            <w:shd w:val="clear" w:color="auto" w:fill="auto"/>
            <w:vAlign w:val="center"/>
          </w:tcPr>
          <w:p w14:paraId="6ACA19FD">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未严格按有关行业规范、工作规程和水务集团管理要求开展咨询活动的最高扣4分；</w:t>
            </w:r>
          </w:p>
        </w:tc>
        <w:tc>
          <w:tcPr>
            <w:tcW w:w="497" w:type="pct"/>
            <w:shd w:val="clear" w:color="auto" w:fill="auto"/>
            <w:vAlign w:val="center"/>
          </w:tcPr>
          <w:p w14:paraId="57E31BA0">
            <w:pPr>
              <w:widowControl/>
              <w:spacing w:line="240" w:lineRule="exact"/>
              <w:jc w:val="center"/>
              <w:rPr>
                <w:rFonts w:ascii="Times New Roman" w:hAnsi="Times New Roman" w:eastAsia="仿宋_GB2312" w:cs="Times New Roman"/>
                <w:color w:val="auto"/>
                <w:sz w:val="20"/>
                <w:szCs w:val="20"/>
              </w:rPr>
            </w:pPr>
          </w:p>
        </w:tc>
      </w:tr>
      <w:tr w14:paraId="6404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2" w:hRule="atLeast"/>
        </w:trPr>
        <w:tc>
          <w:tcPr>
            <w:tcW w:w="221" w:type="pct"/>
            <w:vMerge w:val="continue"/>
            <w:shd w:val="clear" w:color="auto" w:fill="auto"/>
            <w:vAlign w:val="center"/>
          </w:tcPr>
          <w:p w14:paraId="5359A252">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38B6252B">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7371C37C">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6B14F2EA">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未认真执行对数操作规程、现场查勘操作规程的最高扣4分；</w:t>
            </w:r>
          </w:p>
        </w:tc>
        <w:tc>
          <w:tcPr>
            <w:tcW w:w="497" w:type="pct"/>
            <w:shd w:val="clear" w:color="auto" w:fill="auto"/>
            <w:vAlign w:val="center"/>
          </w:tcPr>
          <w:p w14:paraId="51737094">
            <w:pPr>
              <w:widowControl/>
              <w:spacing w:line="240" w:lineRule="exact"/>
              <w:jc w:val="center"/>
              <w:rPr>
                <w:rFonts w:ascii="Times New Roman" w:hAnsi="Times New Roman" w:eastAsia="仿宋_GB2312" w:cs="Times New Roman"/>
                <w:color w:val="auto"/>
                <w:sz w:val="20"/>
                <w:szCs w:val="20"/>
              </w:rPr>
            </w:pPr>
          </w:p>
        </w:tc>
      </w:tr>
      <w:tr w14:paraId="5236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221" w:type="pct"/>
            <w:vMerge w:val="continue"/>
            <w:shd w:val="clear" w:color="auto" w:fill="auto"/>
            <w:vAlign w:val="center"/>
          </w:tcPr>
          <w:p w14:paraId="73ABEE49">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686A4D42">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042D7536">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22C1DBC9">
            <w:pPr>
              <w:widowControl/>
              <w:spacing w:line="240" w:lineRule="exact"/>
              <w:rPr>
                <w:rFonts w:ascii="Times New Roman" w:hAnsi="Times New Roman" w:eastAsia="仿宋_GB2312" w:cs="Times New Roman"/>
                <w:color w:val="auto"/>
                <w:sz w:val="20"/>
              </w:rPr>
            </w:pPr>
            <w:r>
              <w:rPr>
                <w:rFonts w:ascii="Times New Roman" w:hAnsi="Times New Roman" w:eastAsia="仿宋_GB2312" w:cs="Times New Roman"/>
                <w:color w:val="auto"/>
                <w:sz w:val="20"/>
              </w:rPr>
              <w:t>对非常规的设备、材料的价格选定，以及非常规的工艺、技术的定额计价，未能跟委托人协商确定的最高扣2分；</w:t>
            </w:r>
          </w:p>
        </w:tc>
        <w:tc>
          <w:tcPr>
            <w:tcW w:w="497" w:type="pct"/>
            <w:shd w:val="clear" w:color="auto" w:fill="auto"/>
            <w:vAlign w:val="center"/>
          </w:tcPr>
          <w:p w14:paraId="3F9C8361">
            <w:pPr>
              <w:widowControl/>
              <w:spacing w:line="240" w:lineRule="exact"/>
              <w:jc w:val="center"/>
              <w:rPr>
                <w:rFonts w:ascii="Times New Roman" w:hAnsi="Times New Roman" w:eastAsia="仿宋_GB2312" w:cs="Times New Roman"/>
                <w:color w:val="auto"/>
                <w:sz w:val="20"/>
                <w:szCs w:val="20"/>
              </w:rPr>
            </w:pPr>
          </w:p>
        </w:tc>
      </w:tr>
      <w:tr w14:paraId="4293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 w:type="pct"/>
            <w:vMerge w:val="continue"/>
            <w:shd w:val="clear" w:color="auto" w:fill="auto"/>
            <w:vAlign w:val="center"/>
          </w:tcPr>
          <w:p w14:paraId="730B958B">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703F8484">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58F35914">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1DDEEFC7">
            <w:pPr>
              <w:widowControl/>
              <w:spacing w:line="240" w:lineRule="exact"/>
              <w:rPr>
                <w:rFonts w:ascii="Times New Roman" w:hAnsi="Times New Roman" w:eastAsia="仿宋_GB2312" w:cs="Times New Roman"/>
                <w:color w:val="auto"/>
                <w:sz w:val="20"/>
              </w:rPr>
            </w:pPr>
            <w:r>
              <w:rPr>
                <w:rFonts w:ascii="Times New Roman" w:hAnsi="Times New Roman" w:eastAsia="仿宋_GB2312" w:cs="Times New Roman"/>
                <w:color w:val="auto"/>
                <w:sz w:val="20"/>
              </w:rPr>
              <w:t>未能实行二或三级复核制度的最高扣3分。</w:t>
            </w:r>
          </w:p>
        </w:tc>
        <w:tc>
          <w:tcPr>
            <w:tcW w:w="497" w:type="pct"/>
            <w:shd w:val="clear" w:color="auto" w:fill="auto"/>
            <w:vAlign w:val="center"/>
          </w:tcPr>
          <w:p w14:paraId="078677B0">
            <w:pPr>
              <w:widowControl/>
              <w:spacing w:line="240" w:lineRule="exact"/>
              <w:jc w:val="center"/>
              <w:rPr>
                <w:rFonts w:ascii="Times New Roman" w:hAnsi="Times New Roman" w:eastAsia="仿宋_GB2312" w:cs="Times New Roman"/>
                <w:color w:val="auto"/>
                <w:sz w:val="20"/>
                <w:szCs w:val="20"/>
              </w:rPr>
            </w:pPr>
          </w:p>
        </w:tc>
      </w:tr>
      <w:tr w14:paraId="0EC1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221" w:type="pct"/>
            <w:vMerge w:val="restart"/>
            <w:shd w:val="clear" w:color="auto" w:fill="auto"/>
            <w:vAlign w:val="center"/>
          </w:tcPr>
          <w:p w14:paraId="776B693A">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5</w:t>
            </w:r>
          </w:p>
        </w:tc>
        <w:tc>
          <w:tcPr>
            <w:tcW w:w="348" w:type="pct"/>
            <w:vMerge w:val="restart"/>
            <w:shd w:val="clear" w:color="auto" w:fill="auto"/>
            <w:vAlign w:val="center"/>
          </w:tcPr>
          <w:p w14:paraId="3DB4BA37">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职业道德评价</w:t>
            </w:r>
          </w:p>
        </w:tc>
        <w:tc>
          <w:tcPr>
            <w:tcW w:w="317" w:type="pct"/>
            <w:vMerge w:val="restart"/>
            <w:shd w:val="clear" w:color="auto" w:fill="auto"/>
            <w:vAlign w:val="center"/>
          </w:tcPr>
          <w:p w14:paraId="06BE8801">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7</w:t>
            </w:r>
          </w:p>
        </w:tc>
        <w:tc>
          <w:tcPr>
            <w:tcW w:w="3459" w:type="pct"/>
            <w:shd w:val="clear" w:color="auto" w:fill="auto"/>
            <w:vAlign w:val="center"/>
          </w:tcPr>
          <w:p w14:paraId="178B35A0">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未独立完成咨询任务，擅自委托第三方从事咨询活动的扣4分；</w:t>
            </w:r>
          </w:p>
        </w:tc>
        <w:tc>
          <w:tcPr>
            <w:tcW w:w="497" w:type="pct"/>
            <w:shd w:val="clear" w:color="auto" w:fill="auto"/>
            <w:vAlign w:val="center"/>
          </w:tcPr>
          <w:p w14:paraId="06775B4E">
            <w:pPr>
              <w:widowControl/>
              <w:spacing w:line="240" w:lineRule="exact"/>
              <w:jc w:val="center"/>
              <w:rPr>
                <w:rFonts w:ascii="Times New Roman" w:hAnsi="Times New Roman" w:eastAsia="仿宋_GB2312" w:cs="Times New Roman"/>
                <w:color w:val="auto"/>
                <w:sz w:val="20"/>
                <w:szCs w:val="20"/>
              </w:rPr>
            </w:pPr>
          </w:p>
        </w:tc>
      </w:tr>
      <w:tr w14:paraId="1321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 w:type="pct"/>
            <w:vMerge w:val="continue"/>
            <w:shd w:val="clear" w:color="auto" w:fill="auto"/>
            <w:vAlign w:val="center"/>
          </w:tcPr>
          <w:p w14:paraId="0E344247">
            <w:pPr>
              <w:widowControl/>
              <w:spacing w:line="240" w:lineRule="exact"/>
              <w:jc w:val="center"/>
              <w:rPr>
                <w:rFonts w:ascii="Times New Roman" w:hAnsi="Times New Roman" w:eastAsia="仿宋_GB2312" w:cs="Times New Roman"/>
                <w:color w:val="auto"/>
                <w:sz w:val="20"/>
                <w:szCs w:val="20"/>
              </w:rPr>
            </w:pPr>
          </w:p>
        </w:tc>
        <w:tc>
          <w:tcPr>
            <w:tcW w:w="348" w:type="pct"/>
            <w:vMerge w:val="continue"/>
            <w:shd w:val="clear" w:color="auto" w:fill="auto"/>
            <w:vAlign w:val="center"/>
          </w:tcPr>
          <w:p w14:paraId="789DBC00">
            <w:pPr>
              <w:widowControl/>
              <w:spacing w:line="240" w:lineRule="exact"/>
              <w:jc w:val="center"/>
              <w:rPr>
                <w:rFonts w:ascii="Times New Roman" w:hAnsi="Times New Roman" w:eastAsia="仿宋_GB2312" w:cs="Times New Roman"/>
                <w:color w:val="auto"/>
                <w:sz w:val="20"/>
                <w:szCs w:val="20"/>
              </w:rPr>
            </w:pPr>
          </w:p>
        </w:tc>
        <w:tc>
          <w:tcPr>
            <w:tcW w:w="317" w:type="pct"/>
            <w:vMerge w:val="continue"/>
            <w:shd w:val="clear" w:color="auto" w:fill="auto"/>
            <w:vAlign w:val="center"/>
          </w:tcPr>
          <w:p w14:paraId="619EFCBB">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785342BB">
            <w:pPr>
              <w:widowControl/>
              <w:spacing w:line="240" w:lineRule="exact"/>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擅自与委托人的利益相对人联系工作事宜的扣3分。</w:t>
            </w:r>
          </w:p>
        </w:tc>
        <w:tc>
          <w:tcPr>
            <w:tcW w:w="497" w:type="pct"/>
            <w:shd w:val="clear" w:color="auto" w:fill="auto"/>
            <w:vAlign w:val="center"/>
          </w:tcPr>
          <w:p w14:paraId="363CCEEC">
            <w:pPr>
              <w:widowControl/>
              <w:spacing w:line="240" w:lineRule="exact"/>
              <w:jc w:val="center"/>
              <w:rPr>
                <w:rFonts w:ascii="Times New Roman" w:hAnsi="Times New Roman" w:eastAsia="仿宋_GB2312" w:cs="Times New Roman"/>
                <w:color w:val="auto"/>
                <w:sz w:val="20"/>
                <w:szCs w:val="20"/>
              </w:rPr>
            </w:pPr>
          </w:p>
        </w:tc>
      </w:tr>
      <w:tr w14:paraId="614C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70" w:type="pct"/>
            <w:gridSpan w:val="2"/>
            <w:shd w:val="clear" w:color="auto" w:fill="auto"/>
            <w:vAlign w:val="center"/>
          </w:tcPr>
          <w:p w14:paraId="7DB04093">
            <w:pPr>
              <w:widowControl/>
              <w:spacing w:line="240" w:lineRule="exact"/>
              <w:jc w:val="center"/>
              <w:rPr>
                <w:rFonts w:ascii="Times New Roman" w:hAnsi="Times New Roman" w:eastAsia="仿宋_GB2312" w:cs="Times New Roman"/>
                <w:color w:val="auto"/>
                <w:sz w:val="20"/>
                <w:szCs w:val="20"/>
              </w:rPr>
            </w:pPr>
            <w:r>
              <w:rPr>
                <w:rFonts w:ascii="Times New Roman" w:hAnsi="Times New Roman" w:eastAsia="仿宋_GB2312" w:cs="Times New Roman"/>
                <w:color w:val="auto"/>
                <w:sz w:val="20"/>
                <w:szCs w:val="20"/>
              </w:rPr>
              <w:t>合计</w:t>
            </w:r>
          </w:p>
        </w:tc>
        <w:tc>
          <w:tcPr>
            <w:tcW w:w="317" w:type="pct"/>
            <w:shd w:val="clear" w:color="auto" w:fill="auto"/>
            <w:vAlign w:val="center"/>
          </w:tcPr>
          <w:p w14:paraId="0CD1DD4F">
            <w:pPr>
              <w:widowControl/>
              <w:spacing w:line="240" w:lineRule="exact"/>
              <w:jc w:val="center"/>
              <w:rPr>
                <w:rFonts w:ascii="Times New Roman" w:hAnsi="Times New Roman" w:eastAsia="仿宋_GB2312" w:cs="Times New Roman"/>
                <w:color w:val="auto"/>
                <w:sz w:val="20"/>
                <w:szCs w:val="20"/>
              </w:rPr>
            </w:pPr>
          </w:p>
        </w:tc>
        <w:tc>
          <w:tcPr>
            <w:tcW w:w="3459" w:type="pct"/>
            <w:shd w:val="clear" w:color="auto" w:fill="auto"/>
            <w:vAlign w:val="center"/>
          </w:tcPr>
          <w:p w14:paraId="6803FDB6">
            <w:pPr>
              <w:widowControl/>
              <w:spacing w:line="240" w:lineRule="exact"/>
              <w:rPr>
                <w:rFonts w:ascii="Times New Roman" w:hAnsi="Times New Roman" w:eastAsia="仿宋_GB2312" w:cs="Times New Roman"/>
                <w:color w:val="auto"/>
                <w:sz w:val="20"/>
                <w:szCs w:val="20"/>
              </w:rPr>
            </w:pPr>
          </w:p>
        </w:tc>
        <w:tc>
          <w:tcPr>
            <w:tcW w:w="497" w:type="pct"/>
            <w:shd w:val="clear" w:color="auto" w:fill="auto"/>
            <w:vAlign w:val="center"/>
          </w:tcPr>
          <w:p w14:paraId="5D8066FD">
            <w:pPr>
              <w:widowControl/>
              <w:spacing w:line="240" w:lineRule="exact"/>
              <w:jc w:val="center"/>
              <w:rPr>
                <w:rFonts w:ascii="Times New Roman" w:hAnsi="Times New Roman" w:eastAsia="仿宋_GB2312" w:cs="Times New Roman"/>
                <w:color w:val="auto"/>
                <w:sz w:val="20"/>
                <w:szCs w:val="20"/>
              </w:rPr>
            </w:pPr>
          </w:p>
        </w:tc>
      </w:tr>
    </w:tbl>
    <w:p w14:paraId="775C6D0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 xml:space="preserve"> </w:t>
      </w:r>
      <w:r>
        <w:rPr>
          <w:rFonts w:hint="eastAsia" w:eastAsia="方正小标宋简体" w:cs="Times New Roman"/>
          <w:b w:val="0"/>
          <w:bCs/>
          <w:color w:val="auto"/>
          <w:sz w:val="22"/>
          <w:szCs w:val="22"/>
          <w:highlight w:val="none"/>
          <w:lang w:val="en-US" w:eastAsia="zh-CN"/>
        </w:rPr>
        <w:t>考核单位（签字）：                                        被考核单位（签章）</w:t>
      </w:r>
    </w:p>
    <w:p w14:paraId="384D9D36">
      <w:pPr>
        <w:pageBreakBefore/>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b/>
          <w:bCs/>
          <w:color w:val="auto"/>
          <w:spacing w:val="7"/>
          <w:szCs w:val="21"/>
          <w:highlight w:val="none"/>
          <w:lang w:bidi="ar"/>
        </w:rPr>
        <w:t>附件</w:t>
      </w:r>
      <w:r>
        <w:rPr>
          <w:rFonts w:hint="eastAsia" w:ascii="宋体" w:hAnsi="宋体" w:eastAsia="宋体" w:cs="宋体"/>
          <w:b/>
          <w:bCs/>
          <w:color w:val="auto"/>
          <w:spacing w:val="7"/>
          <w:szCs w:val="21"/>
          <w:highlight w:val="none"/>
          <w:lang w:val="en-US" w:eastAsia="zh-CN" w:bidi="ar"/>
        </w:rPr>
        <w:t>3.</w:t>
      </w:r>
      <w:r>
        <w:rPr>
          <w:rFonts w:hint="eastAsia" w:ascii="宋体" w:hAnsi="宋体" w:eastAsia="宋体" w:cs="宋体"/>
          <w:b/>
          <w:bCs/>
          <w:color w:val="auto"/>
          <w:spacing w:val="7"/>
          <w:szCs w:val="21"/>
          <w:highlight w:val="none"/>
          <w:lang w:bidi="ar"/>
        </w:rPr>
        <w:t>廉洁协议书</w:t>
      </w:r>
    </w:p>
    <w:p w14:paraId="14EA0E5D">
      <w:pPr>
        <w:spacing w:line="360" w:lineRule="auto"/>
        <w:ind w:right="31" w:rightChars="15"/>
        <w:contextualSpacing/>
        <w:jc w:val="center"/>
        <w:outlineLvl w:val="9"/>
        <w:rPr>
          <w:rFonts w:hint="eastAsia" w:ascii="宋体" w:hAnsi="宋体" w:eastAsia="宋体" w:cs="宋体"/>
          <w:b/>
          <w:color w:val="auto"/>
          <w:sz w:val="28"/>
          <w:szCs w:val="44"/>
          <w:highlight w:val="none"/>
        </w:rPr>
      </w:pPr>
      <w:bookmarkStart w:id="436" w:name="_Toc45110767"/>
      <w:bookmarkStart w:id="437" w:name="_Toc27037"/>
      <w:bookmarkStart w:id="438" w:name="_Toc20563"/>
      <w:bookmarkStart w:id="439" w:name="_Toc76971796"/>
      <w:bookmarkStart w:id="440" w:name="_Toc45110891"/>
      <w:r>
        <w:rPr>
          <w:rFonts w:hint="eastAsia" w:ascii="宋体" w:hAnsi="宋体" w:eastAsia="宋体" w:cs="宋体"/>
          <w:b/>
          <w:color w:val="auto"/>
          <w:sz w:val="28"/>
          <w:szCs w:val="44"/>
          <w:highlight w:val="none"/>
        </w:rPr>
        <w:t>廉洁协议书</w:t>
      </w:r>
      <w:bookmarkEnd w:id="436"/>
      <w:bookmarkEnd w:id="437"/>
      <w:bookmarkEnd w:id="438"/>
      <w:bookmarkEnd w:id="439"/>
      <w:bookmarkEnd w:id="440"/>
    </w:p>
    <w:p w14:paraId="335A98BB">
      <w:pPr>
        <w:spacing w:line="360" w:lineRule="auto"/>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项目名称：东莞市水务集团净水有限公司2025年造价咨询服务采购项目（招标编号：WTZB2025DG0003）</w:t>
      </w:r>
    </w:p>
    <w:p w14:paraId="4117A4C8">
      <w:pPr>
        <w:spacing w:line="360" w:lineRule="auto"/>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w:t>
      </w:r>
    </w:p>
    <w:p w14:paraId="5E81E2B5">
      <w:pPr>
        <w:spacing w:line="360" w:lineRule="auto"/>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4F6FE4E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5D37FAE">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第一条  甲乙双方的权利和义务</w:t>
      </w:r>
    </w:p>
    <w:p w14:paraId="20E8ED8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（一）严格遵守党和国家有关法律法规等有关廉洁从业规定。</w:t>
      </w:r>
    </w:p>
    <w:p w14:paraId="53E6520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（二）严格执行本项目的合同文件，自觉按合同办事。</w:t>
      </w:r>
    </w:p>
    <w:p w14:paraId="6AB3E81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4D7B8A8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（四）建立健全廉洁制度，开展廉洁教育，设立廉洁监督公示牌，公布举报电话，监督并认真查处违法违纪行为。</w:t>
      </w:r>
    </w:p>
    <w:p w14:paraId="2ED0D6B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（五）发现对方在业务活动中有违反廉洁规定的行为，有及时提醒对方纠正的权利和义务。</w:t>
      </w:r>
    </w:p>
    <w:p w14:paraId="58B69DE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（六）发现对方严重违反本协议义务条款的行为，有向其上级有关部门举报、建议给予处理并要求告知处理结果的权利。</w:t>
      </w:r>
    </w:p>
    <w:p w14:paraId="1D1334A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甲方的义务</w:t>
      </w:r>
    </w:p>
    <w:p w14:paraId="1699560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（一）甲方及其工作人员不得索要或接受乙方的礼金、有价证券和贵重物品，不得在乙方报销任何应由甲方或个人支付的费用。</w:t>
      </w:r>
    </w:p>
    <w:p w14:paraId="275DEE6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（二）甲方工作人员不得参加乙方安排的高消费宴请和娱乐活动；不得接受乙方提供的通讯工具、交通工具和高档办公用品。</w:t>
      </w:r>
    </w:p>
    <w:p w14:paraId="18EFEF4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（三）甲方及其工作人员不得要求或者接受乙方为其住房装修、婚丧嫁娶活动、家属或亲友的工作安排以及出国出境、旅游等提供方便。</w:t>
      </w:r>
    </w:p>
    <w:p w14:paraId="306BB7A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（四）甲方工作人员不得向乙方介绍其家属或者亲友（包括家属或亲友开办的公司企业）从事于本项目涉及的经济业务活动。</w:t>
      </w:r>
    </w:p>
    <w:p w14:paraId="1F79268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（五）甲方及其工作人员不得以任何理由向乙方推荐分包单位，不得要求乙方购买合同规定外的材料和设备。</w:t>
      </w:r>
    </w:p>
    <w:p w14:paraId="01E8D4D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（六）甲方及其工作人员不得进行违反廉洁规定的其他活动。</w:t>
      </w:r>
    </w:p>
    <w:p w14:paraId="11A6D83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5FFA5E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乙方义务</w:t>
      </w:r>
    </w:p>
    <w:p w14:paraId="18042E7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（一）乙方不得以任何理由向甲方及其工作人员馈赠礼金、有价证券、贵重礼品，或报销应由甲方单位或个人支付的任何费用。</w:t>
      </w:r>
    </w:p>
    <w:p w14:paraId="68CEF77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（二）乙方及其工作人员不得以考察、参观、洽谈业务、签订合同等的借口邀请甲方及其工作人员参加高消费的宴请、娱乐和健身等活动。</w:t>
      </w:r>
    </w:p>
    <w:p w14:paraId="7C92542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（三）乙方不得为甲方单位和个人购置或提供通讯工具、交通工具和高档办公用品等。</w:t>
      </w:r>
    </w:p>
    <w:p w14:paraId="27A2DEC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（四）乙方及其工作人员不得为甲方工作人员购买、装修、维修私人住房、汽车等。</w:t>
      </w:r>
    </w:p>
    <w:p w14:paraId="1C1D08F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（五）乙方及其工作人员不得为甲方工作人员的婚丧嫁娶、家属或亲友的工作安排，及出国出境提供方便以及报销任何私人消费的费用。</w:t>
      </w:r>
    </w:p>
    <w:p w14:paraId="5E1B098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（六）乙方及其工作人员不得进行影响甲方及其工作人员公正执行合同和履行职务的其他活动。</w:t>
      </w:r>
    </w:p>
    <w:p w14:paraId="376109C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504214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违约责任</w:t>
      </w:r>
    </w:p>
    <w:p w14:paraId="5AAA85B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（一）甲方违反本协议第一、第二条给乙方单位造成经济损失的，应予以赔偿。</w:t>
      </w:r>
    </w:p>
    <w:p w14:paraId="55D0265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（二）乙方违反本协议第一、第三条给甲方单位造成经济损失的，应予以赔偿。</w:t>
      </w:r>
    </w:p>
    <w:p w14:paraId="4990103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监督检查</w:t>
      </w:r>
    </w:p>
    <w:p w14:paraId="2899622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甲乙双方的廉洁从业行为由双方或双方上级单位的纪检、监察部门负责监督，对本协议履行情况进行检查。</w:t>
      </w:r>
    </w:p>
    <w:p w14:paraId="22E8FBA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举报信访受理</w:t>
      </w:r>
    </w:p>
    <w:p w14:paraId="1613123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（一）举报受理部门：东莞市水务集团有限公司纪检监察部。</w:t>
      </w:r>
    </w:p>
    <w:p w14:paraId="3DA8E34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（二）举报电话：（0769）23076092。</w:t>
      </w:r>
    </w:p>
    <w:p w14:paraId="6D76BD4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rPr>
        <w:t>jcsj@dgswjt.cn。</w:t>
      </w:r>
      <w:r>
        <w:rPr>
          <w:rFonts w:hint="eastAsia" w:ascii="宋体" w:hAnsi="宋体" w:eastAsia="宋体" w:cs="宋体"/>
          <w:bCs/>
          <w:color w:val="auto"/>
          <w:szCs w:val="21"/>
          <w:highlight w:val="none"/>
        </w:rPr>
        <w:fldChar w:fldCharType="end"/>
      </w:r>
    </w:p>
    <w:p w14:paraId="6267E44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（四）信访地址：广东省东莞市东城街道育华路1号。</w:t>
      </w:r>
    </w:p>
    <w:p w14:paraId="5102D7D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其他</w:t>
      </w:r>
    </w:p>
    <w:p w14:paraId="30872D6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本协议有效期为甲乙双方签字并加盖公章之日起至该工程/采购项目竣工验收完毕，质保期/服务期满后止。本协议一式</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份，甲、乙双方各执</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份，甲、乙双方上级主管部门各执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w:t>
      </w:r>
    </w:p>
    <w:p w14:paraId="4A1D2E70">
      <w:pPr>
        <w:spacing w:line="360" w:lineRule="auto"/>
        <w:rPr>
          <w:rFonts w:hint="eastAsia" w:ascii="宋体" w:hAnsi="宋体" w:eastAsia="宋体" w:cs="宋体"/>
          <w:bCs/>
          <w:color w:val="auto"/>
          <w:szCs w:val="21"/>
          <w:highlight w:val="none"/>
        </w:rPr>
      </w:pPr>
    </w:p>
    <w:p w14:paraId="6CB32C54">
      <w:pPr>
        <w:pStyle w:val="18"/>
        <w:rPr>
          <w:rFonts w:hint="eastAsia"/>
          <w:color w:val="auto"/>
          <w:sz w:val="21"/>
          <w:szCs w:val="21"/>
        </w:rPr>
      </w:pPr>
    </w:p>
    <w:p w14:paraId="38B7A3C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甲方（盖章）：                     乙方（盖章）： </w:t>
      </w:r>
    </w:p>
    <w:p w14:paraId="47D72A3F">
      <w:pPr>
        <w:spacing w:line="360" w:lineRule="auto"/>
        <w:rPr>
          <w:rFonts w:hint="eastAsia" w:ascii="宋体" w:hAnsi="宋体" w:eastAsia="宋体" w:cs="宋体"/>
          <w:bCs/>
          <w:color w:val="auto"/>
          <w:szCs w:val="21"/>
          <w:highlight w:val="none"/>
        </w:rPr>
      </w:pPr>
    </w:p>
    <w:p w14:paraId="6CB321B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法定代表人：                       法定代表人：</w:t>
      </w:r>
    </w:p>
    <w:p w14:paraId="6A77909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甲方代表：                         乙方代表：</w:t>
      </w:r>
    </w:p>
    <w:p w14:paraId="185BF55E">
      <w:pPr>
        <w:spacing w:line="360" w:lineRule="auto"/>
        <w:rPr>
          <w:rFonts w:hint="eastAsia" w:ascii="宋体" w:hAnsi="宋体" w:eastAsia="宋体" w:cs="宋体"/>
          <w:bCs/>
          <w:color w:val="auto"/>
          <w:szCs w:val="21"/>
          <w:highlight w:val="none"/>
        </w:rPr>
      </w:pPr>
    </w:p>
    <w:p w14:paraId="0A3F4F9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签订日期：    年  月  日              年  月  日</w:t>
      </w:r>
    </w:p>
    <w:p w14:paraId="07582E7F">
      <w:pPr>
        <w:spacing w:line="360" w:lineRule="auto"/>
        <w:rPr>
          <w:rFonts w:hint="eastAsia" w:ascii="宋体" w:hAnsi="宋体" w:eastAsia="宋体" w:cs="宋体"/>
          <w:bCs/>
          <w:color w:val="auto"/>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4DCFA73">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41" w:name="_Toc20915"/>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27"/>
      <w:bookmarkEnd w:id="428"/>
      <w:bookmarkEnd w:id="429"/>
      <w:bookmarkEnd w:id="430"/>
      <w:bookmarkEnd w:id="431"/>
      <w:bookmarkEnd w:id="432"/>
      <w:bookmarkEnd w:id="433"/>
      <w:bookmarkEnd w:id="434"/>
      <w:bookmarkEnd w:id="435"/>
      <w:bookmarkEnd w:id="441"/>
      <w:bookmarkStart w:id="442" w:name="_Toc447044480"/>
      <w:bookmarkStart w:id="443" w:name="_Toc447044604"/>
      <w:bookmarkStart w:id="444" w:name="_Toc447045091"/>
    </w:p>
    <w:bookmarkEnd w:id="442"/>
    <w:bookmarkEnd w:id="443"/>
    <w:bookmarkEnd w:id="444"/>
    <w:p w14:paraId="54E6B54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45" w:name="_Toc26521_WPSOffice_Level2"/>
      <w:r>
        <w:rPr>
          <w:rFonts w:hint="eastAsia" w:ascii="宋体" w:hAnsi="宋体" w:eastAsia="宋体" w:cs="Times New Roman"/>
          <w:b/>
          <w:color w:val="auto"/>
          <w:kern w:val="0"/>
          <w:sz w:val="28"/>
          <w:szCs w:val="28"/>
          <w:highlight w:val="none"/>
        </w:rPr>
        <w:t>一、不可撤销银行履约保函格式</w:t>
      </w:r>
      <w:bookmarkEnd w:id="445"/>
    </w:p>
    <w:p w14:paraId="7723C6A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2378662A">
      <w:pPr>
        <w:widowControl/>
        <w:autoSpaceDE w:val="0"/>
        <w:autoSpaceDN w:val="0"/>
        <w:adjustRightInd w:val="0"/>
        <w:spacing w:line="360" w:lineRule="auto"/>
        <w:jc w:val="left"/>
        <w:rPr>
          <w:rFonts w:ascii="宋体" w:hAnsi="宋体" w:eastAsia="宋体" w:cs="宋体"/>
          <w:color w:val="auto"/>
          <w:kern w:val="0"/>
          <w:szCs w:val="21"/>
          <w:highlight w:val="none"/>
        </w:rPr>
      </w:pPr>
    </w:p>
    <w:p w14:paraId="7F52512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65228187">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AB0C00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34FA72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A57B66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0495A31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6A236875">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58932D8">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应从合同签订之日起至合同期限届满并且完成合同及合同下所有单项服务协议</w:t>
      </w:r>
      <w:r>
        <w:rPr>
          <w:rFonts w:hint="eastAsia" w:ascii="宋体" w:hAnsi="宋体" w:eastAsia="宋体" w:cs="Times New Roman"/>
          <w:color w:val="auto"/>
          <w:kern w:val="0"/>
          <w:szCs w:val="21"/>
          <w:highlight w:val="none"/>
          <w:lang w:val="en-US" w:eastAsia="zh-CN"/>
        </w:rPr>
        <w:t>及补充协议的</w:t>
      </w:r>
      <w:r>
        <w:rPr>
          <w:rFonts w:hint="eastAsia" w:ascii="宋体" w:hAnsi="宋体" w:eastAsia="宋体" w:cs="Times New Roman"/>
          <w:color w:val="auto"/>
          <w:kern w:val="0"/>
          <w:szCs w:val="21"/>
          <w:highlight w:val="none"/>
        </w:rPr>
        <w:t>全部服务义务</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受益人向申请人支付全部款项</w:t>
      </w:r>
      <w:r>
        <w:rPr>
          <w:rFonts w:hint="eastAsia" w:ascii="宋体" w:hAnsi="宋体" w:eastAsia="宋体" w:cs="Times New Roman"/>
          <w:color w:val="auto"/>
          <w:kern w:val="0"/>
          <w:szCs w:val="21"/>
          <w:highlight w:val="none"/>
        </w:rPr>
        <w:t>后二十八（28）日内保持有效。</w:t>
      </w:r>
    </w:p>
    <w:p w14:paraId="59F67602">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2B6FE944">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327CD0F">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C69F9F1">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5ACFC3FD">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1D3726B">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458625A">
      <w:pPr>
        <w:widowControl/>
        <w:autoSpaceDE w:val="0"/>
        <w:autoSpaceDN w:val="0"/>
        <w:adjustRightInd w:val="0"/>
        <w:spacing w:line="360" w:lineRule="auto"/>
        <w:jc w:val="left"/>
        <w:rPr>
          <w:rFonts w:ascii="宋体" w:hAnsi="宋体" w:eastAsia="宋体" w:cs="宋体"/>
          <w:color w:val="auto"/>
          <w:kern w:val="0"/>
          <w:szCs w:val="21"/>
          <w:highlight w:val="none"/>
        </w:rPr>
      </w:pPr>
    </w:p>
    <w:p w14:paraId="1A31FD4E">
      <w:pPr>
        <w:widowControl/>
        <w:autoSpaceDE w:val="0"/>
        <w:autoSpaceDN w:val="0"/>
        <w:adjustRightInd w:val="0"/>
        <w:spacing w:line="360" w:lineRule="auto"/>
        <w:jc w:val="left"/>
        <w:rPr>
          <w:rFonts w:ascii="宋体" w:hAnsi="宋体" w:eastAsia="宋体" w:cs="宋体"/>
          <w:color w:val="auto"/>
          <w:kern w:val="0"/>
          <w:szCs w:val="21"/>
          <w:highlight w:val="none"/>
        </w:rPr>
      </w:pPr>
    </w:p>
    <w:p w14:paraId="375D3EBA">
      <w:pPr>
        <w:widowControl/>
        <w:autoSpaceDE w:val="0"/>
        <w:autoSpaceDN w:val="0"/>
        <w:adjustRightInd w:val="0"/>
        <w:spacing w:line="360" w:lineRule="auto"/>
        <w:jc w:val="left"/>
        <w:rPr>
          <w:rFonts w:ascii="宋体" w:hAnsi="宋体" w:eastAsia="宋体" w:cs="宋体"/>
          <w:color w:val="auto"/>
          <w:kern w:val="0"/>
          <w:szCs w:val="21"/>
          <w:highlight w:val="none"/>
        </w:rPr>
      </w:pPr>
    </w:p>
    <w:p w14:paraId="4EF1DEF8">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p>
    <w:p w14:paraId="2ECA0F0C">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75EC0C4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9B150F2">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670C5889">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DDCE86F">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7180466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79BCC2B">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50500DE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019070D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0D384F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5DA5AB9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2BAC797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2574C01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5D0E825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CE0AA4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76225A6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834322F">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53ED96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应从合同签订之日起至合同期限届满并且完成合同及合同下所有单项服务协议及补充协议的全部服务义务，受益人向申请人支付全部款项后二十八（28）日内保持有效。</w:t>
      </w:r>
    </w:p>
    <w:p w14:paraId="68CF50A1">
      <w:pPr>
        <w:numPr>
          <w:ilvl w:val="0"/>
          <w:numId w:val="0"/>
        </w:numPr>
        <w:outlineLvl w:val="9"/>
        <w:rPr>
          <w:rFonts w:hint="default"/>
          <w:color w:val="auto"/>
          <w:highlight w:val="none"/>
          <w:lang w:val="en-US" w:eastAsia="zh-CN"/>
        </w:rPr>
      </w:pPr>
    </w:p>
    <w:p w14:paraId="50A1AC5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9B78FA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BAA431E">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23370E1">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346E333">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393CBA18">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27F8EBA">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58A35C7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70CAAA8">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1C767D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2539828">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15B4CA7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E399FA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4A3864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应从合同签订之日起至合同期限届满并且完成合同及合同下所有单项服务协议及补充协议的全部服务义务，受益人向申请人支付全部款项后二十八（28）日内保持有效。</w:t>
      </w:r>
    </w:p>
    <w:p w14:paraId="54DB8221">
      <w:pPr>
        <w:autoSpaceDE w:val="0"/>
        <w:autoSpaceDN w:val="0"/>
        <w:adjustRightInd w:val="0"/>
        <w:spacing w:line="360" w:lineRule="auto"/>
        <w:jc w:val="left"/>
        <w:rPr>
          <w:rFonts w:ascii="宋体" w:hAnsi="宋体" w:eastAsia="宋体" w:cs="Times New Roman"/>
          <w:color w:val="auto"/>
          <w:kern w:val="0"/>
          <w:szCs w:val="21"/>
          <w:highlight w:val="none"/>
        </w:rPr>
      </w:pPr>
    </w:p>
    <w:p w14:paraId="5F6AE16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64501D8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FF562C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60EEAE9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596B14A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31B6A692">
      <w:pPr>
        <w:autoSpaceDE w:val="0"/>
        <w:autoSpaceDN w:val="0"/>
        <w:adjustRightInd w:val="0"/>
        <w:spacing w:line="360" w:lineRule="auto"/>
        <w:jc w:val="left"/>
        <w:rPr>
          <w:rFonts w:ascii="宋体" w:hAnsi="宋体" w:eastAsia="宋体" w:cs="Times New Roman"/>
          <w:color w:val="auto"/>
          <w:kern w:val="0"/>
          <w:szCs w:val="21"/>
          <w:highlight w:val="none"/>
        </w:rPr>
      </w:pPr>
    </w:p>
    <w:p w14:paraId="550914F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3286FB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3999B8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EAD610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50CCBB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BBD711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C6B89A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12C916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8C1EC6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46" w:name="_Toc32761_WPSOffice_Level1"/>
      <w:bookmarkStart w:id="447" w:name="_Toc486167708"/>
      <w:bookmarkStart w:id="448" w:name="_Toc142508361"/>
      <w:bookmarkStart w:id="449" w:name="_Toc450662895"/>
      <w:bookmarkStart w:id="450" w:name="_Toc15817"/>
      <w:bookmarkStart w:id="451" w:name="_Toc9840"/>
      <w:bookmarkStart w:id="452" w:name="_Toc14958"/>
      <w:bookmarkStart w:id="453" w:name="_Toc3077"/>
      <w:r>
        <w:rPr>
          <w:rFonts w:hint="eastAsia" w:ascii="宋体" w:hAnsi="宋体" w:eastAsia="宋体" w:cs="宋体"/>
          <w:b/>
          <w:bCs/>
          <w:color w:val="auto"/>
          <w:kern w:val="44"/>
          <w:sz w:val="32"/>
          <w:szCs w:val="32"/>
          <w:highlight w:val="none"/>
          <w:lang w:val="zh-CN"/>
        </w:rPr>
        <w:t>第六篇 投标文件格式</w:t>
      </w:r>
      <w:bookmarkEnd w:id="446"/>
      <w:bookmarkEnd w:id="447"/>
      <w:bookmarkEnd w:id="448"/>
      <w:bookmarkEnd w:id="449"/>
      <w:bookmarkEnd w:id="450"/>
      <w:bookmarkEnd w:id="451"/>
      <w:bookmarkEnd w:id="452"/>
      <w:bookmarkEnd w:id="453"/>
    </w:p>
    <w:p w14:paraId="6F375A4C">
      <w:pPr>
        <w:rPr>
          <w:rFonts w:hint="eastAsia" w:ascii="宋体" w:hAnsi="宋体" w:eastAsia="宋体" w:cs="宋体"/>
          <w:color w:val="auto"/>
          <w:sz w:val="84"/>
          <w:highlight w:val="none"/>
        </w:rPr>
      </w:pPr>
      <w:bookmarkStart w:id="454" w:name="_Toc102860411"/>
      <w:bookmarkStart w:id="455" w:name="_Toc140596921"/>
      <w:bookmarkStart w:id="456" w:name="_Toc21133_WPSOffice_Level2"/>
      <w:bookmarkStart w:id="457" w:name="_Toc94107202"/>
      <w:bookmarkStart w:id="458" w:name="_Toc102860067"/>
      <w:bookmarkStart w:id="459" w:name="_Toc533708121"/>
      <w:bookmarkStart w:id="460" w:name="_Toc104991868"/>
      <w:bookmarkStart w:id="461" w:name="_Toc1977721"/>
      <w:bookmarkStart w:id="462" w:name="_Toc486167709"/>
      <w:bookmarkStart w:id="463" w:name="_Toc142508362"/>
      <w:r>
        <w:rPr>
          <w:rFonts w:hint="eastAsia" w:ascii="宋体" w:hAnsi="宋体" w:eastAsia="宋体" w:cs="宋体"/>
          <w:b/>
          <w:color w:val="auto"/>
          <w:kern w:val="0"/>
          <w:sz w:val="32"/>
          <w:szCs w:val="32"/>
          <w:highlight w:val="none"/>
        </w:rPr>
        <w:br w:type="page"/>
      </w:r>
    </w:p>
    <w:p w14:paraId="084A923A">
      <w:pPr>
        <w:pStyle w:val="19"/>
        <w:spacing w:line="360" w:lineRule="auto"/>
        <w:jc w:val="center"/>
        <w:rPr>
          <w:rFonts w:hint="eastAsia" w:ascii="宋体" w:hAnsi="宋体" w:eastAsia="宋体" w:cs="宋体"/>
          <w:color w:val="auto"/>
          <w:sz w:val="84"/>
          <w:highlight w:val="none"/>
        </w:rPr>
      </w:pPr>
    </w:p>
    <w:p w14:paraId="4FA27969">
      <w:pPr>
        <w:pStyle w:val="19"/>
        <w:spacing w:line="360" w:lineRule="auto"/>
        <w:jc w:val="center"/>
        <w:rPr>
          <w:rFonts w:hint="eastAsia" w:ascii="宋体" w:hAnsi="宋体" w:eastAsia="宋体" w:cs="宋体"/>
          <w:color w:val="auto"/>
          <w:sz w:val="84"/>
          <w:highlight w:val="none"/>
        </w:rPr>
      </w:pPr>
    </w:p>
    <w:p w14:paraId="0F8D3BB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D177963">
      <w:pPr>
        <w:pStyle w:val="19"/>
        <w:spacing w:line="360" w:lineRule="auto"/>
        <w:rPr>
          <w:rFonts w:hint="eastAsia" w:ascii="宋体" w:hAnsi="宋体" w:eastAsia="宋体" w:cs="宋体"/>
          <w:color w:val="auto"/>
          <w:highlight w:val="none"/>
        </w:rPr>
      </w:pPr>
    </w:p>
    <w:p w14:paraId="305EED9E">
      <w:pPr>
        <w:pStyle w:val="19"/>
        <w:spacing w:line="360" w:lineRule="auto"/>
        <w:rPr>
          <w:rFonts w:hint="eastAsia" w:ascii="宋体" w:hAnsi="宋体" w:eastAsia="宋体" w:cs="宋体"/>
          <w:color w:val="auto"/>
          <w:highlight w:val="none"/>
        </w:rPr>
      </w:pPr>
    </w:p>
    <w:p w14:paraId="7DD14DF5">
      <w:pPr>
        <w:pStyle w:val="19"/>
        <w:spacing w:line="360" w:lineRule="auto"/>
        <w:rPr>
          <w:rFonts w:hint="eastAsia" w:ascii="宋体" w:hAnsi="宋体" w:eastAsia="宋体" w:cs="宋体"/>
          <w:color w:val="auto"/>
          <w:highlight w:val="none"/>
        </w:rPr>
      </w:pPr>
    </w:p>
    <w:p w14:paraId="78A552B9">
      <w:pPr>
        <w:pStyle w:val="19"/>
        <w:spacing w:line="360" w:lineRule="auto"/>
        <w:rPr>
          <w:rFonts w:hint="eastAsia" w:ascii="宋体" w:hAnsi="宋体" w:eastAsia="宋体" w:cs="宋体"/>
          <w:color w:val="auto"/>
          <w:highlight w:val="none"/>
        </w:rPr>
      </w:pPr>
    </w:p>
    <w:p w14:paraId="760588FB">
      <w:pPr>
        <w:pStyle w:val="19"/>
        <w:spacing w:line="360" w:lineRule="auto"/>
        <w:rPr>
          <w:rFonts w:hint="eastAsia" w:ascii="宋体" w:hAnsi="宋体" w:eastAsia="宋体" w:cs="宋体"/>
          <w:color w:val="auto"/>
          <w:highlight w:val="none"/>
        </w:rPr>
      </w:pPr>
    </w:p>
    <w:p w14:paraId="469B8672">
      <w:pPr>
        <w:pStyle w:val="19"/>
        <w:spacing w:line="360" w:lineRule="auto"/>
        <w:rPr>
          <w:rFonts w:hint="eastAsia" w:ascii="宋体" w:hAnsi="宋体" w:eastAsia="宋体" w:cs="宋体"/>
          <w:color w:val="auto"/>
          <w:highlight w:val="none"/>
        </w:rPr>
      </w:pPr>
    </w:p>
    <w:p w14:paraId="0DD7247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AE4FE7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F770FE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6D5AECC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F0D0E4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CFA505F">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A82C916">
      <w:pPr>
        <w:pStyle w:val="19"/>
        <w:spacing w:line="360" w:lineRule="auto"/>
        <w:rPr>
          <w:rFonts w:hint="eastAsia" w:ascii="宋体" w:hAnsi="宋体" w:eastAsia="宋体" w:cs="宋体"/>
          <w:color w:val="auto"/>
          <w:highlight w:val="none"/>
        </w:rPr>
      </w:pPr>
    </w:p>
    <w:p w14:paraId="6D4C4285">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C64D2C">
      <w:pPr>
        <w:pStyle w:val="19"/>
        <w:spacing w:line="360" w:lineRule="auto"/>
        <w:rPr>
          <w:rFonts w:hint="eastAsia" w:ascii="宋体" w:hAnsi="宋体" w:eastAsia="宋体" w:cs="宋体"/>
          <w:color w:val="auto"/>
          <w:highlight w:val="none"/>
        </w:rPr>
      </w:pPr>
    </w:p>
    <w:p w14:paraId="42B2EC6B">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712C27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6AC136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A113AF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1D8E7DD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7C2616E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BE338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CCA2392">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154BA54">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276C7F6B">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503734C">
            <w:pPr>
              <w:adjustRightInd w:val="0"/>
              <w:snapToGrid w:val="0"/>
              <w:spacing w:line="360" w:lineRule="auto"/>
              <w:rPr>
                <w:rFonts w:hint="eastAsia" w:ascii="宋体" w:hAnsi="宋体" w:eastAsia="宋体" w:cs="宋体"/>
                <w:bCs/>
                <w:color w:val="auto"/>
                <w:szCs w:val="21"/>
                <w:highlight w:val="none"/>
              </w:rPr>
            </w:pPr>
          </w:p>
        </w:tc>
      </w:tr>
      <w:tr w14:paraId="5CB3BB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D20C668">
            <w:pPr>
              <w:rPr>
                <w:rFonts w:hint="eastAsia" w:ascii="宋体" w:hAnsi="宋体" w:eastAsia="宋体" w:cs="宋体"/>
                <w:bCs/>
                <w:color w:val="auto"/>
                <w:szCs w:val="21"/>
                <w:highlight w:val="none"/>
              </w:rPr>
            </w:pPr>
          </w:p>
        </w:tc>
        <w:tc>
          <w:tcPr>
            <w:tcW w:w="1337" w:type="pct"/>
            <w:vAlign w:val="center"/>
          </w:tcPr>
          <w:p w14:paraId="17ABABA9">
            <w:pPr>
              <w:rPr>
                <w:rFonts w:hint="eastAsia" w:ascii="宋体" w:hAnsi="宋体" w:eastAsia="宋体" w:cs="宋体"/>
                <w:bCs/>
                <w:color w:val="auto"/>
                <w:szCs w:val="21"/>
                <w:highlight w:val="none"/>
              </w:rPr>
            </w:pPr>
          </w:p>
        </w:tc>
        <w:tc>
          <w:tcPr>
            <w:tcW w:w="1040" w:type="pct"/>
            <w:vAlign w:val="center"/>
          </w:tcPr>
          <w:p w14:paraId="5E2FFA22">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5D37C7F8">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27CB5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FAFBE5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D30CB85">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221DF0A0">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301F2737">
            <w:pPr>
              <w:spacing w:line="360" w:lineRule="auto"/>
              <w:ind w:firstLine="8" w:firstLineChars="4"/>
              <w:rPr>
                <w:rFonts w:hint="eastAsia" w:ascii="宋体" w:hAnsi="宋体" w:eastAsia="宋体" w:cs="宋体"/>
                <w:bCs/>
                <w:color w:val="auto"/>
                <w:szCs w:val="21"/>
                <w:highlight w:val="none"/>
              </w:rPr>
            </w:pPr>
          </w:p>
        </w:tc>
      </w:tr>
      <w:tr w14:paraId="66086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6065B27">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66004A0">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4EF4D2FE">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489A9F4B">
            <w:pPr>
              <w:adjustRightInd w:val="0"/>
              <w:snapToGrid w:val="0"/>
              <w:spacing w:line="360" w:lineRule="auto"/>
              <w:rPr>
                <w:rFonts w:hint="eastAsia" w:ascii="宋体" w:hAnsi="宋体" w:eastAsia="宋体" w:cs="宋体"/>
                <w:bCs/>
                <w:color w:val="auto"/>
                <w:szCs w:val="21"/>
                <w:highlight w:val="none"/>
              </w:rPr>
            </w:pPr>
          </w:p>
        </w:tc>
      </w:tr>
      <w:tr w14:paraId="5AD519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CB3D5B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0440AC45">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11FF0EDB">
            <w:pPr>
              <w:spacing w:line="360" w:lineRule="auto"/>
              <w:jc w:val="center"/>
              <w:rPr>
                <w:rFonts w:hint="eastAsia" w:ascii="宋体" w:hAnsi="宋体" w:eastAsia="宋体" w:cs="宋体"/>
                <w:bCs/>
                <w:color w:val="auto"/>
                <w:szCs w:val="21"/>
                <w:highlight w:val="none"/>
              </w:rPr>
            </w:pPr>
          </w:p>
        </w:tc>
      </w:tr>
    </w:tbl>
    <w:p w14:paraId="60CED8D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8AC7CE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64" w:name="_Toc13281"/>
      <w:bookmarkStart w:id="465" w:name="_Toc23782"/>
      <w:bookmarkStart w:id="466" w:name="_Toc25842"/>
      <w:bookmarkStart w:id="467" w:name="_Toc20446"/>
      <w:bookmarkStart w:id="468" w:name="_Toc27679"/>
      <w:r>
        <w:rPr>
          <w:rFonts w:hint="eastAsia" w:ascii="宋体" w:hAnsi="宋体" w:eastAsia="宋体" w:cs="宋体"/>
          <w:b/>
          <w:color w:val="auto"/>
          <w:kern w:val="0"/>
          <w:sz w:val="32"/>
          <w:szCs w:val="32"/>
          <w:highlight w:val="none"/>
        </w:rPr>
        <w:t>一、投标函格式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C293E41">
      <w:pPr>
        <w:autoSpaceDE w:val="0"/>
        <w:autoSpaceDN w:val="0"/>
        <w:adjustRightInd w:val="0"/>
        <w:spacing w:line="360" w:lineRule="auto"/>
        <w:jc w:val="center"/>
        <w:rPr>
          <w:rFonts w:ascii="宋体" w:hAnsi="宋体" w:eastAsia="宋体" w:cs="宋体"/>
          <w:b/>
          <w:bCs/>
          <w:color w:val="auto"/>
          <w:sz w:val="30"/>
          <w:szCs w:val="30"/>
          <w:highlight w:val="none"/>
        </w:rPr>
      </w:pPr>
      <w:bookmarkStart w:id="469" w:name="_Toc16695_WPSOffice_Level3"/>
      <w:r>
        <w:rPr>
          <w:rFonts w:hint="eastAsia" w:ascii="宋体" w:hAnsi="宋体" w:eastAsia="宋体" w:cs="宋体"/>
          <w:b/>
          <w:bCs/>
          <w:color w:val="auto"/>
          <w:sz w:val="30"/>
          <w:szCs w:val="30"/>
          <w:highlight w:val="none"/>
          <w:lang w:val="zh-CN"/>
        </w:rPr>
        <w:t>投 标 函</w:t>
      </w:r>
      <w:bookmarkEnd w:id="469"/>
    </w:p>
    <w:p w14:paraId="183FE861">
      <w:pPr>
        <w:autoSpaceDE w:val="0"/>
        <w:autoSpaceDN w:val="0"/>
        <w:adjustRightInd w:val="0"/>
        <w:spacing w:line="360" w:lineRule="auto"/>
        <w:rPr>
          <w:rFonts w:ascii="宋体" w:hAnsi="宋体" w:eastAsia="宋体" w:cs="宋体"/>
          <w:color w:val="auto"/>
          <w:szCs w:val="21"/>
          <w:highlight w:val="none"/>
          <w:lang w:val="zh-CN"/>
        </w:rPr>
      </w:pPr>
    </w:p>
    <w:p w14:paraId="173EA5BF">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14:paraId="703A17BF">
      <w:pPr>
        <w:autoSpaceDE w:val="0"/>
        <w:autoSpaceDN w:val="0"/>
        <w:adjustRightInd w:val="0"/>
        <w:spacing w:line="360" w:lineRule="auto"/>
        <w:rPr>
          <w:rFonts w:ascii="宋体" w:hAnsi="宋体" w:eastAsia="宋体" w:cs="宋体"/>
          <w:color w:val="auto"/>
          <w:szCs w:val="21"/>
          <w:highlight w:val="none"/>
        </w:rPr>
      </w:pPr>
    </w:p>
    <w:p w14:paraId="3C7142C6">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东莞市水务集团净水有限公司2025年造价咨询服务采购项目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WTZB2025DG0003</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EECC47A">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49591785">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226583F8">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BF72690">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7CE91E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WTZB2025DG0003</w:t>
      </w:r>
      <w:r>
        <w:rPr>
          <w:rFonts w:hint="eastAsia" w:ascii="宋体" w:hAnsi="宋体" w:eastAsia="宋体" w:cs="宋体"/>
          <w:color w:val="auto"/>
          <w:szCs w:val="21"/>
          <w:highlight w:val="none"/>
          <w:lang w:val="zh-CN"/>
        </w:rPr>
        <w:t>的投标；</w:t>
      </w:r>
    </w:p>
    <w:p w14:paraId="353FC80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3913F99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26D210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73EC10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254A10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8E4F31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5D33FC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D5EA12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B9C936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0DAD924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AAC12F9">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36A197C">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1C5B2E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CA1520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43729352">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5119F7EB">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0F10B08">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DB5DE5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020F9DA">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49C970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70" w:name="_Toc140596922"/>
      <w:bookmarkStart w:id="471" w:name="_Toc533708122"/>
      <w:bookmarkStart w:id="472" w:name="_Toc104991869"/>
      <w:bookmarkStart w:id="473" w:name="_Toc102860068"/>
      <w:bookmarkStart w:id="474" w:name="_Toc30995"/>
      <w:bookmarkStart w:id="475" w:name="_Toc3104"/>
      <w:bookmarkStart w:id="476" w:name="_Toc486167710"/>
      <w:bookmarkStart w:id="477" w:name="_Toc13586"/>
      <w:bookmarkStart w:id="478" w:name="_Toc94107203"/>
      <w:bookmarkStart w:id="479" w:name="_Toc142508363"/>
      <w:bookmarkStart w:id="480" w:name="_Toc1977722"/>
      <w:bookmarkStart w:id="481" w:name="_Toc30263"/>
      <w:bookmarkStart w:id="482" w:name="_Toc28613_WPSOffice_Level2"/>
      <w:bookmarkStart w:id="483" w:name="_Toc102860412"/>
      <w:bookmarkStart w:id="484" w:name="_Toc12417"/>
      <w:r>
        <w:rPr>
          <w:rFonts w:hint="eastAsia" w:ascii="宋体" w:hAnsi="宋体" w:eastAsia="宋体" w:cs="宋体"/>
          <w:b/>
          <w:color w:val="auto"/>
          <w:kern w:val="0"/>
          <w:sz w:val="32"/>
          <w:szCs w:val="32"/>
          <w:highlight w:val="none"/>
        </w:rPr>
        <w:t>二、投标承诺书格式</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70F51974">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615ED9A5">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37960D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东莞市水务集团净水有限公司2025年造价咨询服务采购项目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WTZB2025DG0003</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3CFB112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0ABC4A0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E85AA6A">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2A8A18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276288C">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7E15107B">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7DEC617C">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0601952D">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C27A6B7">
      <w:pPr>
        <w:autoSpaceDE w:val="0"/>
        <w:autoSpaceDN w:val="0"/>
        <w:adjustRightInd w:val="0"/>
        <w:spacing w:line="360" w:lineRule="auto"/>
        <w:jc w:val="left"/>
        <w:rPr>
          <w:rFonts w:ascii="宋体" w:hAnsi="宋体" w:eastAsia="宋体" w:cs="宋体"/>
          <w:color w:val="auto"/>
          <w:kern w:val="0"/>
          <w:sz w:val="24"/>
          <w:szCs w:val="24"/>
          <w:highlight w:val="none"/>
        </w:rPr>
      </w:pPr>
    </w:p>
    <w:p w14:paraId="008D968F">
      <w:pPr>
        <w:autoSpaceDE w:val="0"/>
        <w:autoSpaceDN w:val="0"/>
        <w:adjustRightInd w:val="0"/>
        <w:spacing w:line="360" w:lineRule="auto"/>
        <w:jc w:val="left"/>
        <w:rPr>
          <w:rFonts w:ascii="宋体" w:hAnsi="宋体" w:eastAsia="宋体" w:cs="宋体"/>
          <w:color w:val="auto"/>
          <w:kern w:val="0"/>
          <w:sz w:val="24"/>
          <w:szCs w:val="24"/>
          <w:highlight w:val="none"/>
        </w:rPr>
      </w:pPr>
      <w:bookmarkStart w:id="485" w:name="_Toc316896755"/>
      <w:bookmarkStart w:id="486" w:name="_Toc326768876"/>
      <w:bookmarkStart w:id="487" w:name="_Toc311032584"/>
    </w:p>
    <w:p w14:paraId="529951AF">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88" w:name="_Toc102860413"/>
      <w:bookmarkStart w:id="489" w:name="_Toc5075"/>
      <w:bookmarkStart w:id="490" w:name="_Toc82182546"/>
      <w:bookmarkStart w:id="491" w:name="_Toc86764083"/>
      <w:bookmarkStart w:id="492" w:name="_Toc29910"/>
      <w:bookmarkStart w:id="493" w:name="_Toc142508364"/>
      <w:bookmarkStart w:id="494" w:name="_Toc140596923"/>
      <w:bookmarkStart w:id="495" w:name="_Toc102860069"/>
      <w:bookmarkStart w:id="496" w:name="_Toc24336"/>
      <w:bookmarkStart w:id="497" w:name="_Toc6061"/>
      <w:bookmarkStart w:id="498" w:name="_Toc29293"/>
      <w:bookmarkStart w:id="499" w:name="_Toc104991870"/>
      <w:bookmarkStart w:id="500" w:name="_Toc94107204"/>
      <w:bookmarkStart w:id="501" w:name="_Toc486167711"/>
      <w:bookmarkStart w:id="502" w:name="_Toc7024_WPSOffice_Level2"/>
      <w:bookmarkStart w:id="503" w:name="_Toc1977723"/>
      <w:bookmarkStart w:id="504" w:name="_Toc533708123"/>
      <w:r>
        <w:rPr>
          <w:rFonts w:hint="eastAsia" w:ascii="宋体" w:hAnsi="宋体" w:eastAsia="宋体" w:cs="宋体"/>
          <w:b/>
          <w:color w:val="auto"/>
          <w:kern w:val="44"/>
          <w:sz w:val="32"/>
          <w:szCs w:val="32"/>
          <w:highlight w:val="none"/>
        </w:rPr>
        <w:t>三、供货及/或提供服务过程承诺函格式</w:t>
      </w:r>
      <w:bookmarkEnd w:id="488"/>
      <w:bookmarkEnd w:id="489"/>
      <w:bookmarkEnd w:id="490"/>
      <w:bookmarkEnd w:id="491"/>
      <w:bookmarkEnd w:id="492"/>
      <w:bookmarkEnd w:id="493"/>
      <w:bookmarkEnd w:id="494"/>
      <w:bookmarkEnd w:id="495"/>
      <w:bookmarkEnd w:id="496"/>
      <w:bookmarkEnd w:id="497"/>
      <w:bookmarkEnd w:id="498"/>
      <w:bookmarkEnd w:id="499"/>
      <w:bookmarkEnd w:id="500"/>
    </w:p>
    <w:p w14:paraId="65ED51DE">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23C473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0C45E1B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东莞市水务集团净水有限公司2025年造价咨询服务采购项目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WTZB2025DG0003</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6891C5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624B28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3055704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2E851F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AED55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0422F6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04037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C4698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1572549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9CB3A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455A7F6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DF7523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AA721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FB64F8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5A9B18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0082A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97504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6A6383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C61609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5131E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6700A2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CA49A8E">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5326DB5">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C27A87F">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B0909D0">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79E2F10E">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05" w:name="_Toc809"/>
      <w:bookmarkStart w:id="506" w:name="_Toc18346"/>
      <w:bookmarkStart w:id="507" w:name="_Toc3053"/>
      <w:bookmarkStart w:id="508" w:name="_Toc142508366"/>
      <w:bookmarkStart w:id="509" w:name="_Toc102860415"/>
      <w:bookmarkStart w:id="510" w:name="_Toc94107206"/>
      <w:bookmarkStart w:id="511" w:name="_Toc104991872"/>
      <w:bookmarkStart w:id="512" w:name="_Toc140596925"/>
      <w:bookmarkStart w:id="513" w:name="_Toc102860071"/>
      <w:bookmarkStart w:id="514" w:name="_Toc13416"/>
      <w:bookmarkStart w:id="515" w:name="_Toc1140"/>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05D138FE">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3F7D0264">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东莞市水务集团净水有限公司2025年造价咨询服务采购项目</w:t>
      </w:r>
    </w:p>
    <w:p w14:paraId="02ABBF42">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WTZB2025DG0003</w:t>
      </w:r>
    </w:p>
    <w:tbl>
      <w:tblPr>
        <w:tblStyle w:val="37"/>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85"/>
        <w:gridCol w:w="3598"/>
        <w:gridCol w:w="3853"/>
        <w:gridCol w:w="1732"/>
      </w:tblGrid>
      <w:tr w14:paraId="66AE8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71" w:type="pct"/>
            <w:tcBorders>
              <w:top w:val="single" w:color="auto" w:sz="4" w:space="0"/>
              <w:left w:val="single" w:color="auto" w:sz="4" w:space="0"/>
              <w:bottom w:val="single" w:color="auto" w:sz="4" w:space="0"/>
              <w:right w:val="single" w:color="auto" w:sz="4" w:space="0"/>
            </w:tcBorders>
            <w:vAlign w:val="center"/>
          </w:tcPr>
          <w:p w14:paraId="7396D36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734" w:type="pct"/>
            <w:tcBorders>
              <w:top w:val="single" w:color="auto" w:sz="4" w:space="0"/>
              <w:left w:val="single" w:color="auto" w:sz="4" w:space="0"/>
              <w:bottom w:val="single" w:color="auto" w:sz="4" w:space="0"/>
              <w:right w:val="single" w:color="auto" w:sz="4" w:space="0"/>
            </w:tcBorders>
            <w:vAlign w:val="center"/>
          </w:tcPr>
          <w:p w14:paraId="5077959D">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857" w:type="pct"/>
            <w:tcBorders>
              <w:top w:val="single" w:color="auto" w:sz="4" w:space="0"/>
              <w:left w:val="single" w:color="auto" w:sz="4" w:space="0"/>
              <w:bottom w:val="single" w:color="auto" w:sz="4" w:space="0"/>
              <w:right w:val="single" w:color="auto" w:sz="4" w:space="0"/>
            </w:tcBorders>
            <w:vAlign w:val="center"/>
          </w:tcPr>
          <w:p w14:paraId="4987B790">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折扣系数报价</w:t>
            </w:r>
          </w:p>
        </w:tc>
        <w:tc>
          <w:tcPr>
            <w:tcW w:w="835" w:type="pct"/>
            <w:tcBorders>
              <w:top w:val="single" w:color="auto" w:sz="4" w:space="0"/>
              <w:left w:val="single" w:color="auto" w:sz="4" w:space="0"/>
              <w:bottom w:val="single" w:color="auto" w:sz="4" w:space="0"/>
              <w:right w:val="single" w:color="auto" w:sz="4" w:space="0"/>
            </w:tcBorders>
            <w:vAlign w:val="center"/>
          </w:tcPr>
          <w:p w14:paraId="78F5D497">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03303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71" w:type="pct"/>
            <w:tcBorders>
              <w:top w:val="single" w:color="auto" w:sz="4" w:space="0"/>
              <w:left w:val="single" w:color="auto" w:sz="4" w:space="0"/>
              <w:right w:val="single" w:color="auto" w:sz="4" w:space="0"/>
            </w:tcBorders>
            <w:vAlign w:val="center"/>
          </w:tcPr>
          <w:p w14:paraId="7A2DF9B6">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734" w:type="pct"/>
            <w:tcBorders>
              <w:top w:val="single" w:color="auto" w:sz="4" w:space="0"/>
              <w:left w:val="single" w:color="auto" w:sz="4" w:space="0"/>
              <w:right w:val="single" w:color="auto" w:sz="4" w:space="0"/>
            </w:tcBorders>
            <w:vAlign w:val="center"/>
          </w:tcPr>
          <w:p w14:paraId="2DDCADFA">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东莞市水务集团净水有限公司2025年造价咨询服务采购项目</w:t>
            </w:r>
          </w:p>
        </w:tc>
        <w:tc>
          <w:tcPr>
            <w:tcW w:w="1857" w:type="pct"/>
            <w:tcBorders>
              <w:top w:val="single" w:color="auto" w:sz="4" w:space="0"/>
              <w:left w:val="single" w:color="auto" w:sz="4" w:space="0"/>
              <w:right w:val="single" w:color="auto" w:sz="4" w:space="0"/>
            </w:tcBorders>
            <w:vAlign w:val="center"/>
          </w:tcPr>
          <w:p w14:paraId="64F7FD23">
            <w:pPr>
              <w:tabs>
                <w:tab w:val="left" w:pos="8610"/>
              </w:tabs>
              <w:spacing w:line="360" w:lineRule="auto"/>
              <w:ind w:firstLine="1058" w:firstLineChars="504"/>
              <w:jc w:val="both"/>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u w:val="single"/>
                <w:lang w:val="en-US" w:eastAsia="zh-CN"/>
              </w:rPr>
              <w:t xml:space="preserve">               </w:t>
            </w:r>
          </w:p>
          <w:p w14:paraId="2F722051">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b/>
                <w:bCs/>
                <w:color w:val="auto"/>
                <w:kern w:val="0"/>
                <w:sz w:val="18"/>
                <w:szCs w:val="18"/>
                <w:highlight w:val="none"/>
                <w:lang w:eastAsia="zh-CN"/>
              </w:rPr>
              <w:t>【</w:t>
            </w:r>
            <w:r>
              <w:rPr>
                <w:rFonts w:hint="eastAsia" w:ascii="宋体" w:hAnsi="宋体" w:eastAsia="宋体" w:cs="Times New Roman"/>
                <w:b/>
                <w:bCs/>
                <w:color w:val="auto"/>
                <w:kern w:val="0"/>
                <w:sz w:val="18"/>
                <w:szCs w:val="18"/>
                <w:highlight w:val="none"/>
              </w:rPr>
              <w:t>折扣系数报价不得超过0.80（保留小数点后两位），且不能为0.00或负数</w:t>
            </w:r>
            <w:r>
              <w:rPr>
                <w:rFonts w:hint="eastAsia" w:ascii="宋体" w:hAnsi="宋体" w:eastAsia="宋体" w:cs="Times New Roman"/>
                <w:b/>
                <w:bCs/>
                <w:color w:val="auto"/>
                <w:kern w:val="0"/>
                <w:sz w:val="18"/>
                <w:szCs w:val="18"/>
                <w:highlight w:val="none"/>
                <w:lang w:eastAsia="zh-CN"/>
              </w:rPr>
              <w:t>】</w:t>
            </w:r>
          </w:p>
        </w:tc>
        <w:tc>
          <w:tcPr>
            <w:tcW w:w="835" w:type="pct"/>
            <w:tcBorders>
              <w:top w:val="single" w:color="auto" w:sz="4" w:space="0"/>
              <w:left w:val="single" w:color="auto" w:sz="4" w:space="0"/>
              <w:right w:val="single" w:color="auto" w:sz="4" w:space="0"/>
            </w:tcBorders>
            <w:vAlign w:val="center"/>
          </w:tcPr>
          <w:p w14:paraId="119EE9B2">
            <w:pPr>
              <w:tabs>
                <w:tab w:val="left" w:pos="8610"/>
              </w:tabs>
              <w:spacing w:line="360" w:lineRule="auto"/>
              <w:jc w:val="center"/>
              <w:rPr>
                <w:rFonts w:ascii="宋体" w:hAnsi="宋体" w:eastAsia="宋体" w:cs="Times New Roman"/>
                <w:color w:val="auto"/>
                <w:kern w:val="0"/>
                <w:szCs w:val="21"/>
                <w:highlight w:val="none"/>
              </w:rPr>
            </w:pPr>
          </w:p>
        </w:tc>
      </w:tr>
    </w:tbl>
    <w:p w14:paraId="145811E8">
      <w:pPr>
        <w:rPr>
          <w:rFonts w:ascii="宋体" w:hAnsi="宋体" w:eastAsia="宋体" w:cs="宋体"/>
          <w:color w:val="auto"/>
          <w:kern w:val="0"/>
          <w:sz w:val="20"/>
          <w:szCs w:val="21"/>
          <w:highlight w:val="none"/>
        </w:rPr>
      </w:pPr>
    </w:p>
    <w:p w14:paraId="7D6A421D">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B1040F8">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bCs w:val="0"/>
          <w:color w:val="auto"/>
          <w:kern w:val="0"/>
          <w:szCs w:val="21"/>
          <w:highlight w:val="none"/>
          <w:u w:val="single"/>
        </w:rPr>
        <w:t>本项目的投标报价采用统一折扣系数报价。</w:t>
      </w:r>
      <w:r>
        <w:rPr>
          <w:rFonts w:hint="eastAsia" w:ascii="宋体" w:hAnsi="宋体" w:eastAsia="宋体" w:cs="Times New Roman"/>
          <w:b w:val="0"/>
          <w:bCs/>
          <w:color w:val="auto"/>
          <w:kern w:val="0"/>
          <w:szCs w:val="21"/>
          <w:highlight w:val="none"/>
          <w:u w:val="single"/>
        </w:rPr>
        <w:t>合同履约过程中，根据招标人及招标人的权属子公司的委托单开展单项造价咨询服务。单项造价咨询服务费参照《广东省物价局关于调整我省建设工程造价咨询服务收费的复函》(粤价函〔2011〕742号)中收费项目对应的收费标准，再乘以服务折扣系数，单项造价咨询服务不设最低收费</w:t>
      </w:r>
      <w:r>
        <w:rPr>
          <w:rFonts w:hint="eastAsia" w:ascii="宋体" w:hAnsi="宋体" w:eastAsia="宋体" w:cs="Times New Roman"/>
          <w:b w:val="0"/>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rPr>
        <w:t>详细计费规则详见第三篇用户需求书第三条第3.1款</w:t>
      </w:r>
      <w:r>
        <w:rPr>
          <w:rFonts w:hint="eastAsia" w:ascii="宋体" w:hAnsi="宋体" w:eastAsia="宋体" w:cs="Times New Roman"/>
          <w:color w:val="auto"/>
          <w:kern w:val="0"/>
          <w:szCs w:val="21"/>
          <w:highlight w:val="none"/>
        </w:rPr>
        <w:t>。</w:t>
      </w:r>
    </w:p>
    <w:p w14:paraId="5947A79E">
      <w:pPr>
        <w:autoSpaceDE w:val="0"/>
        <w:autoSpaceDN w:val="0"/>
        <w:adjustRightInd w:val="0"/>
        <w:snapToGrid/>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u w:val="single"/>
        </w:rPr>
        <w:t>投标人的</w:t>
      </w:r>
      <w:r>
        <w:rPr>
          <w:rFonts w:hint="eastAsia" w:ascii="宋体" w:hAnsi="宋体" w:eastAsia="宋体" w:cs="Times New Roman"/>
          <w:b/>
          <w:color w:val="auto"/>
          <w:kern w:val="0"/>
          <w:szCs w:val="21"/>
          <w:highlight w:val="none"/>
          <w:u w:val="single"/>
        </w:rPr>
        <w:t>折扣系数报价</w:t>
      </w:r>
      <w:r>
        <w:rPr>
          <w:rFonts w:hint="eastAsia" w:ascii="宋体" w:hAnsi="宋体" w:eastAsia="宋体" w:cs="Times New Roman"/>
          <w:b/>
          <w:bCs/>
          <w:color w:val="auto"/>
          <w:kern w:val="0"/>
          <w:szCs w:val="21"/>
          <w:highlight w:val="none"/>
          <w:u w:val="single"/>
        </w:rPr>
        <w:t>不得超过0.80，且不能为0.00或负数，投标人未按招标文件要求进行折扣系数报价的，</w:t>
      </w:r>
      <w:r>
        <w:rPr>
          <w:rFonts w:hint="eastAsia" w:ascii="宋体" w:hAnsi="宋体" w:eastAsia="宋体" w:cs="宋体"/>
          <w:b/>
          <w:color w:val="auto"/>
          <w:szCs w:val="21"/>
          <w:highlight w:val="none"/>
          <w:u w:val="single"/>
          <w:lang w:val="zh-CN"/>
        </w:rPr>
        <w:t>该投标人的投标文件将被视为无效投标。折扣系数报价需保留小数点后两位，否则评标委员会按去“尾”或补“零”的方式进行修正为保留小数点后两位，投标人须接受被修正后的报价（例：如投标折扣系数为0.789，则被修正为0.78；如投标折扣系数为0.7，则被修正为0.70）</w:t>
      </w:r>
      <w:r>
        <w:rPr>
          <w:rFonts w:hint="eastAsia" w:ascii="宋体" w:hAnsi="宋体" w:eastAsia="宋体" w:cs="Times New Roman"/>
          <w:b/>
          <w:bCs/>
          <w:color w:val="auto"/>
          <w:kern w:val="0"/>
          <w:szCs w:val="21"/>
          <w:highlight w:val="none"/>
        </w:rPr>
        <w:t>。</w:t>
      </w:r>
    </w:p>
    <w:p w14:paraId="23B1A282">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647F4FD3">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68F1242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D9287A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4FA9690">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989D5AD">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516" w:name="_Toc8936"/>
      <w:bookmarkStart w:id="517" w:name="_Toc26516"/>
      <w:bookmarkStart w:id="518" w:name="_Toc23083"/>
      <w:bookmarkStart w:id="519" w:name="_Toc104991875"/>
      <w:bookmarkStart w:id="520" w:name="_Toc1977725"/>
      <w:bookmarkStart w:id="521" w:name="_Toc16529"/>
      <w:bookmarkStart w:id="522" w:name="_Toc94107209"/>
      <w:bookmarkStart w:id="523" w:name="_Toc102860074"/>
      <w:bookmarkStart w:id="524" w:name="_Toc142508369"/>
      <w:bookmarkStart w:id="525" w:name="_Toc140596928"/>
      <w:bookmarkStart w:id="526" w:name="_Toc6190"/>
      <w:bookmarkStart w:id="527" w:name="_Toc102860418"/>
      <w:bookmarkStart w:id="528" w:name="_Toc533708124"/>
      <w:bookmarkStart w:id="529" w:name="_Toc20759_WPSOffice_Level2"/>
      <w:bookmarkStart w:id="530"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16"/>
      <w:bookmarkEnd w:id="517"/>
      <w:bookmarkEnd w:id="518"/>
      <w:bookmarkEnd w:id="519"/>
      <w:bookmarkEnd w:id="520"/>
      <w:bookmarkEnd w:id="521"/>
      <w:bookmarkEnd w:id="522"/>
      <w:bookmarkEnd w:id="523"/>
      <w:bookmarkEnd w:id="524"/>
      <w:bookmarkEnd w:id="525"/>
      <w:bookmarkEnd w:id="526"/>
      <w:bookmarkEnd w:id="527"/>
    </w:p>
    <w:p w14:paraId="3962222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1" w:name="_Toc31350"/>
      <w:bookmarkStart w:id="532" w:name="_Toc27377"/>
      <w:bookmarkStart w:id="533" w:name="_Toc25267"/>
      <w:bookmarkStart w:id="534" w:name="_Toc17358"/>
      <w:bookmarkStart w:id="535" w:name="_Toc140596929"/>
      <w:bookmarkStart w:id="536" w:name="_Toc102860075"/>
      <w:bookmarkStart w:id="537" w:name="_Toc104991876"/>
      <w:bookmarkStart w:id="538" w:name="_Toc29874"/>
      <w:bookmarkStart w:id="539" w:name="_Toc94107210"/>
      <w:bookmarkStart w:id="540" w:name="_Toc142508370"/>
      <w:bookmarkStart w:id="541" w:name="_Toc102860419"/>
      <w:bookmarkStart w:id="542"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31"/>
      <w:bookmarkEnd w:id="532"/>
      <w:bookmarkEnd w:id="533"/>
      <w:bookmarkEnd w:id="534"/>
      <w:bookmarkEnd w:id="535"/>
      <w:bookmarkEnd w:id="536"/>
      <w:bookmarkEnd w:id="537"/>
      <w:bookmarkEnd w:id="538"/>
      <w:bookmarkEnd w:id="539"/>
      <w:bookmarkEnd w:id="540"/>
      <w:bookmarkEnd w:id="541"/>
    </w:p>
    <w:p w14:paraId="201A62D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5A0EBD">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10" w:type="first"/>
          <w:footerReference r:id="rId9" w:type="default"/>
          <w:pgSz w:w="12240" w:h="15840"/>
          <w:pgMar w:top="1191" w:right="1043" w:bottom="1191" w:left="1043" w:header="720" w:footer="720" w:gutter="0"/>
          <w:cols w:space="720" w:num="1"/>
          <w:titlePg/>
          <w:docGrid w:linePitch="326" w:charSpace="0"/>
        </w:sectPr>
      </w:pPr>
    </w:p>
    <w:p w14:paraId="0B164860">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43" w:name="_Toc29597"/>
      <w:bookmarkStart w:id="544" w:name="_Toc102860076"/>
      <w:bookmarkStart w:id="545" w:name="_Toc29525"/>
      <w:bookmarkStart w:id="546" w:name="_Toc27861"/>
      <w:bookmarkStart w:id="547" w:name="_Toc104991877"/>
      <w:bookmarkStart w:id="548" w:name="_Toc7756"/>
      <w:bookmarkStart w:id="549" w:name="_Toc94107211"/>
      <w:bookmarkStart w:id="550" w:name="_Toc140596930"/>
      <w:bookmarkStart w:id="551" w:name="_Toc25013"/>
      <w:bookmarkStart w:id="552" w:name="_Toc142508371"/>
      <w:bookmarkStart w:id="553" w:name="_Toc1028604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43"/>
      <w:bookmarkEnd w:id="544"/>
      <w:bookmarkEnd w:id="545"/>
      <w:bookmarkEnd w:id="546"/>
      <w:bookmarkEnd w:id="547"/>
      <w:bookmarkEnd w:id="548"/>
      <w:bookmarkEnd w:id="549"/>
      <w:bookmarkEnd w:id="550"/>
      <w:bookmarkEnd w:id="551"/>
      <w:bookmarkEnd w:id="552"/>
      <w:bookmarkEnd w:id="553"/>
    </w:p>
    <w:p w14:paraId="2562D26C">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54" w:name="_Toc142508372"/>
      <w:bookmarkStart w:id="555" w:name="_Toc94107212"/>
      <w:bookmarkStart w:id="556" w:name="_Toc25181"/>
      <w:bookmarkStart w:id="557" w:name="_Toc104991878"/>
      <w:bookmarkStart w:id="558" w:name="_Toc102860421"/>
      <w:bookmarkStart w:id="559" w:name="_Toc7441"/>
      <w:bookmarkStart w:id="560" w:name="_Toc102860077"/>
      <w:bookmarkStart w:id="561" w:name="_Toc17499"/>
      <w:bookmarkStart w:id="562" w:name="_Toc23572"/>
      <w:bookmarkStart w:id="563" w:name="_Toc9132"/>
      <w:bookmarkStart w:id="564" w:name="_Toc14059693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54"/>
      <w:bookmarkEnd w:id="555"/>
      <w:bookmarkEnd w:id="556"/>
      <w:bookmarkEnd w:id="557"/>
      <w:bookmarkEnd w:id="558"/>
      <w:bookmarkEnd w:id="559"/>
      <w:bookmarkEnd w:id="560"/>
      <w:bookmarkEnd w:id="561"/>
      <w:bookmarkEnd w:id="562"/>
      <w:bookmarkEnd w:id="563"/>
      <w:bookmarkEnd w:id="564"/>
    </w:p>
    <w:p w14:paraId="74C6E071">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28"/>
      <w:bookmarkEnd w:id="529"/>
      <w:bookmarkEnd w:id="530"/>
      <w:bookmarkEnd w:id="542"/>
    </w:p>
    <w:p w14:paraId="5FEBB78F">
      <w:pPr>
        <w:spacing w:before="120" w:after="120" w:line="360" w:lineRule="auto"/>
        <w:ind w:firstLine="608" w:firstLineChars="202"/>
        <w:jc w:val="center"/>
        <w:rPr>
          <w:rFonts w:ascii="宋体" w:hAnsi="宋体" w:eastAsia="宋体" w:cs="宋体"/>
          <w:b/>
          <w:color w:val="auto"/>
          <w:sz w:val="30"/>
          <w:szCs w:val="30"/>
          <w:highlight w:val="none"/>
        </w:rPr>
      </w:pPr>
    </w:p>
    <w:p w14:paraId="43439069">
      <w:pPr>
        <w:spacing w:before="120" w:after="120" w:line="360" w:lineRule="auto"/>
        <w:ind w:firstLine="608" w:firstLineChars="202"/>
        <w:jc w:val="center"/>
        <w:rPr>
          <w:rFonts w:ascii="宋体" w:hAnsi="宋体" w:eastAsia="宋体" w:cs="宋体"/>
          <w:b/>
          <w:bCs/>
          <w:color w:val="auto"/>
          <w:sz w:val="30"/>
          <w:szCs w:val="30"/>
          <w:highlight w:val="none"/>
        </w:rPr>
      </w:pPr>
      <w:bookmarkStart w:id="565" w:name="_Toc11033_WPSOffice_Level3"/>
      <w:r>
        <w:rPr>
          <w:rFonts w:hint="eastAsia" w:ascii="宋体" w:hAnsi="宋体" w:eastAsia="宋体" w:cs="宋体"/>
          <w:b/>
          <w:color w:val="auto"/>
          <w:sz w:val="30"/>
          <w:szCs w:val="30"/>
          <w:highlight w:val="none"/>
        </w:rPr>
        <w:t>法定代</w:t>
      </w:r>
      <w:bookmarkStart w:id="566" w:name="_Toc45995270"/>
      <w:bookmarkStart w:id="567" w:name="_Toc36971359"/>
      <w:r>
        <w:rPr>
          <w:rFonts w:hint="eastAsia" w:ascii="宋体" w:hAnsi="宋体" w:eastAsia="宋体" w:cs="宋体"/>
          <w:b/>
          <w:color w:val="auto"/>
          <w:sz w:val="30"/>
          <w:szCs w:val="30"/>
          <w:highlight w:val="none"/>
        </w:rPr>
        <w:t>表人身份证明书</w:t>
      </w:r>
      <w:bookmarkEnd w:id="565"/>
    </w:p>
    <w:bookmarkEnd w:id="566"/>
    <w:bookmarkEnd w:id="567"/>
    <w:p w14:paraId="3D1343E7">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C643D8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70DB9DC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436FB3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6F9386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0B19F7C">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17D8E8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E1486B1">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4602413E">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6224126">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BF7204C"/>
                          <w:p w14:paraId="3B5984A8"/>
                          <w:p w14:paraId="7019D90C"/>
                          <w:p w14:paraId="1D7924BF"/>
                          <w:p w14:paraId="5F4B1FB6">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BF7204C"/>
                    <w:p w14:paraId="3B5984A8"/>
                    <w:p w14:paraId="7019D90C"/>
                    <w:p w14:paraId="1D7924BF"/>
                    <w:p w14:paraId="5F4B1FB6">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A899413"/>
                          <w:p w14:paraId="3E36726F"/>
                          <w:p w14:paraId="7EA05ADD"/>
                          <w:p w14:paraId="004B3E0E"/>
                          <w:p w14:paraId="4C6C1C06">
                            <w:pPr>
                              <w:jc w:val="center"/>
                              <w:rPr>
                                <w:szCs w:val="21"/>
                              </w:rPr>
                            </w:pPr>
                            <w:r>
                              <w:rPr>
                                <w:rFonts w:hint="eastAsia"/>
                                <w:szCs w:val="21"/>
                              </w:rPr>
                              <w:t>法定代表人身份证反面</w:t>
                            </w:r>
                          </w:p>
                          <w:p w14:paraId="2472E7D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A899413"/>
                    <w:p w14:paraId="3E36726F"/>
                    <w:p w14:paraId="7EA05ADD"/>
                    <w:p w14:paraId="004B3E0E"/>
                    <w:p w14:paraId="4C6C1C06">
                      <w:pPr>
                        <w:jc w:val="center"/>
                        <w:rPr>
                          <w:szCs w:val="21"/>
                        </w:rPr>
                      </w:pPr>
                      <w:r>
                        <w:rPr>
                          <w:rFonts w:hint="eastAsia"/>
                          <w:szCs w:val="21"/>
                        </w:rPr>
                        <w:t>法定代表人身份证反面</w:t>
                      </w:r>
                    </w:p>
                    <w:p w14:paraId="2472E7D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EEE695E"/>
                          <w:p w14:paraId="39585B18"/>
                          <w:p w14:paraId="424A42E6"/>
                          <w:p w14:paraId="4DD6E34A"/>
                          <w:p w14:paraId="54E62ED3">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EEE695E"/>
                    <w:p w14:paraId="39585B18"/>
                    <w:p w14:paraId="424A42E6"/>
                    <w:p w14:paraId="4DD6E34A"/>
                    <w:p w14:paraId="54E62ED3">
                      <w:pPr>
                        <w:jc w:val="center"/>
                      </w:pPr>
                      <w:r>
                        <w:rPr>
                          <w:rFonts w:hint="eastAsia"/>
                        </w:rPr>
                        <w:t>身份证正面</w:t>
                      </w:r>
                    </w:p>
                  </w:txbxContent>
                </v:textbox>
              </v:shape>
            </w:pict>
          </mc:Fallback>
        </mc:AlternateContent>
      </w:r>
    </w:p>
    <w:p w14:paraId="48641BA5">
      <w:pPr>
        <w:autoSpaceDE w:val="0"/>
        <w:autoSpaceDN w:val="0"/>
        <w:adjustRightInd w:val="0"/>
        <w:jc w:val="left"/>
        <w:rPr>
          <w:rFonts w:ascii="宋体" w:hAnsi="宋体" w:eastAsia="宋体" w:cs="宋体"/>
          <w:color w:val="auto"/>
          <w:kern w:val="0"/>
          <w:sz w:val="24"/>
          <w:szCs w:val="24"/>
          <w:highlight w:val="none"/>
        </w:rPr>
      </w:pPr>
    </w:p>
    <w:p w14:paraId="48644368">
      <w:pPr>
        <w:autoSpaceDE w:val="0"/>
        <w:autoSpaceDN w:val="0"/>
        <w:adjustRightInd w:val="0"/>
        <w:jc w:val="left"/>
        <w:rPr>
          <w:rFonts w:ascii="宋体" w:hAnsi="宋体" w:eastAsia="宋体" w:cs="宋体"/>
          <w:color w:val="auto"/>
          <w:kern w:val="0"/>
          <w:sz w:val="24"/>
          <w:szCs w:val="24"/>
          <w:highlight w:val="none"/>
        </w:rPr>
      </w:pPr>
    </w:p>
    <w:p w14:paraId="17AE5F00">
      <w:pPr>
        <w:autoSpaceDE w:val="0"/>
        <w:autoSpaceDN w:val="0"/>
        <w:adjustRightInd w:val="0"/>
        <w:jc w:val="left"/>
        <w:rPr>
          <w:rFonts w:ascii="宋体" w:hAnsi="宋体" w:eastAsia="宋体" w:cs="宋体"/>
          <w:color w:val="auto"/>
          <w:kern w:val="0"/>
          <w:sz w:val="24"/>
          <w:szCs w:val="24"/>
          <w:highlight w:val="none"/>
        </w:rPr>
      </w:pPr>
    </w:p>
    <w:p w14:paraId="5A47294A">
      <w:pPr>
        <w:autoSpaceDE w:val="0"/>
        <w:autoSpaceDN w:val="0"/>
        <w:adjustRightInd w:val="0"/>
        <w:jc w:val="left"/>
        <w:rPr>
          <w:rFonts w:ascii="宋体" w:hAnsi="宋体" w:eastAsia="宋体" w:cs="宋体"/>
          <w:color w:val="auto"/>
          <w:kern w:val="0"/>
          <w:sz w:val="24"/>
          <w:szCs w:val="24"/>
          <w:highlight w:val="none"/>
        </w:rPr>
      </w:pPr>
    </w:p>
    <w:p w14:paraId="19B027BA">
      <w:pPr>
        <w:autoSpaceDE w:val="0"/>
        <w:autoSpaceDN w:val="0"/>
        <w:adjustRightInd w:val="0"/>
        <w:jc w:val="left"/>
        <w:rPr>
          <w:rFonts w:ascii="宋体" w:hAnsi="宋体" w:eastAsia="宋体" w:cs="宋体"/>
          <w:color w:val="auto"/>
          <w:kern w:val="0"/>
          <w:sz w:val="24"/>
          <w:szCs w:val="24"/>
          <w:highlight w:val="none"/>
        </w:rPr>
      </w:pPr>
    </w:p>
    <w:p w14:paraId="64DD9CBC">
      <w:pPr>
        <w:autoSpaceDE w:val="0"/>
        <w:autoSpaceDN w:val="0"/>
        <w:adjustRightInd w:val="0"/>
        <w:jc w:val="left"/>
        <w:rPr>
          <w:rFonts w:ascii="宋体" w:hAnsi="宋体" w:eastAsia="宋体" w:cs="宋体"/>
          <w:color w:val="auto"/>
          <w:kern w:val="0"/>
          <w:sz w:val="24"/>
          <w:szCs w:val="24"/>
          <w:highlight w:val="none"/>
        </w:rPr>
      </w:pPr>
    </w:p>
    <w:p w14:paraId="7C9861A4">
      <w:pPr>
        <w:autoSpaceDE w:val="0"/>
        <w:autoSpaceDN w:val="0"/>
        <w:adjustRightInd w:val="0"/>
        <w:jc w:val="left"/>
        <w:rPr>
          <w:rFonts w:ascii="宋体" w:hAnsi="宋体" w:eastAsia="宋体" w:cs="宋体"/>
          <w:color w:val="auto"/>
          <w:kern w:val="0"/>
          <w:sz w:val="24"/>
          <w:szCs w:val="24"/>
          <w:highlight w:val="none"/>
        </w:rPr>
      </w:pPr>
    </w:p>
    <w:p w14:paraId="179FFE70">
      <w:pPr>
        <w:autoSpaceDE w:val="0"/>
        <w:autoSpaceDN w:val="0"/>
        <w:adjustRightInd w:val="0"/>
        <w:jc w:val="left"/>
        <w:rPr>
          <w:rFonts w:ascii="宋体" w:hAnsi="宋体" w:eastAsia="宋体" w:cs="宋体"/>
          <w:color w:val="auto"/>
          <w:kern w:val="0"/>
          <w:sz w:val="24"/>
          <w:szCs w:val="24"/>
          <w:highlight w:val="none"/>
        </w:rPr>
      </w:pPr>
    </w:p>
    <w:p w14:paraId="58F1C67C">
      <w:pPr>
        <w:autoSpaceDE w:val="0"/>
        <w:autoSpaceDN w:val="0"/>
        <w:adjustRightInd w:val="0"/>
        <w:jc w:val="left"/>
        <w:rPr>
          <w:rFonts w:ascii="宋体" w:hAnsi="宋体" w:eastAsia="宋体" w:cs="宋体"/>
          <w:color w:val="auto"/>
          <w:kern w:val="0"/>
          <w:sz w:val="24"/>
          <w:szCs w:val="24"/>
          <w:highlight w:val="none"/>
        </w:rPr>
      </w:pPr>
    </w:p>
    <w:p w14:paraId="315A83C6">
      <w:pPr>
        <w:autoSpaceDE w:val="0"/>
        <w:autoSpaceDN w:val="0"/>
        <w:adjustRightInd w:val="0"/>
        <w:jc w:val="left"/>
        <w:rPr>
          <w:rFonts w:ascii="宋体" w:hAnsi="宋体" w:eastAsia="宋体" w:cs="宋体"/>
          <w:b/>
          <w:color w:val="auto"/>
          <w:kern w:val="0"/>
          <w:szCs w:val="21"/>
          <w:highlight w:val="none"/>
        </w:rPr>
      </w:pPr>
    </w:p>
    <w:p w14:paraId="21FEED75">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3CB1F695">
      <w:pPr>
        <w:autoSpaceDE w:val="0"/>
        <w:autoSpaceDN w:val="0"/>
        <w:adjustRightInd w:val="0"/>
        <w:jc w:val="left"/>
        <w:rPr>
          <w:rFonts w:ascii="宋体" w:hAnsi="宋体" w:eastAsia="宋体" w:cs="宋体"/>
          <w:color w:val="auto"/>
          <w:kern w:val="0"/>
          <w:szCs w:val="21"/>
          <w:highlight w:val="none"/>
        </w:rPr>
      </w:pPr>
    </w:p>
    <w:p w14:paraId="580039BB">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85"/>
      <w:bookmarkEnd w:id="486"/>
      <w:bookmarkEnd w:id="487"/>
      <w:bookmarkStart w:id="568" w:name="_Toc6240_WPSOffice_Level2"/>
      <w:bookmarkStart w:id="569" w:name="_Toc1977727"/>
      <w:bookmarkStart w:id="570" w:name="_Toc486167713"/>
      <w:bookmarkStart w:id="571" w:name="_Toc533708125"/>
      <w:r>
        <w:rPr>
          <w:rFonts w:hint="eastAsia" w:ascii="宋体" w:hAnsi="宋体" w:eastAsia="宋体" w:cs="宋体"/>
          <w:b/>
          <w:color w:val="auto"/>
          <w:szCs w:val="24"/>
          <w:highlight w:val="none"/>
        </w:rPr>
        <w:t>（2）法定代表人授权书格式</w:t>
      </w:r>
      <w:bookmarkEnd w:id="568"/>
      <w:bookmarkEnd w:id="569"/>
      <w:bookmarkEnd w:id="570"/>
      <w:bookmarkEnd w:id="571"/>
    </w:p>
    <w:p w14:paraId="0E4E42D6">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1661E13B">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72" w:name="_Toc29146_WPSOffice_Level3"/>
      <w:r>
        <w:rPr>
          <w:rFonts w:hint="eastAsia" w:ascii="宋体" w:hAnsi="宋体" w:eastAsia="宋体" w:cs="宋体"/>
          <w:b/>
          <w:bCs/>
          <w:color w:val="auto"/>
          <w:sz w:val="30"/>
          <w:szCs w:val="30"/>
          <w:highlight w:val="none"/>
          <w:lang w:val="zh-CN"/>
        </w:rPr>
        <w:t>法定代表人授权书</w:t>
      </w:r>
      <w:bookmarkEnd w:id="572"/>
    </w:p>
    <w:p w14:paraId="59628CEB">
      <w:pPr>
        <w:autoSpaceDE w:val="0"/>
        <w:autoSpaceDN w:val="0"/>
        <w:adjustRightInd w:val="0"/>
        <w:spacing w:line="360" w:lineRule="auto"/>
        <w:jc w:val="center"/>
        <w:rPr>
          <w:rFonts w:ascii="宋体" w:hAnsi="宋体" w:eastAsia="宋体" w:cs="宋体"/>
          <w:color w:val="auto"/>
          <w:szCs w:val="28"/>
          <w:highlight w:val="none"/>
          <w:lang w:val="zh-CN"/>
        </w:rPr>
      </w:pPr>
    </w:p>
    <w:p w14:paraId="00CE9B55">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6D6C9355">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东莞市水务集团净水有限公司2025年造价咨询服务采购项目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WTZB2025DG0003</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A7CCF53">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120F228">
      <w:pPr>
        <w:spacing w:before="120" w:after="120" w:line="360" w:lineRule="auto"/>
        <w:ind w:left="348" w:leftChars="136" w:hanging="62"/>
        <w:rPr>
          <w:rFonts w:ascii="宋体" w:hAnsi="宋体" w:eastAsia="宋体" w:cs="宋体"/>
          <w:color w:val="auto"/>
          <w:szCs w:val="24"/>
          <w:highlight w:val="none"/>
        </w:rPr>
      </w:pPr>
    </w:p>
    <w:p w14:paraId="1E01142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6F58F1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2296342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553051C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5DC18C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BCB36A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D74F2E2">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2493EF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4DD4B9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725878D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275730B"/>
                          <w:p w14:paraId="17C1519B"/>
                          <w:p w14:paraId="60A4BE53"/>
                          <w:p w14:paraId="144F8941"/>
                          <w:p w14:paraId="391400C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275730B"/>
                    <w:p w14:paraId="17C1519B"/>
                    <w:p w14:paraId="60A4BE53"/>
                    <w:p w14:paraId="144F8941"/>
                    <w:p w14:paraId="391400C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2D848E3"/>
                          <w:p w14:paraId="70258FB1"/>
                          <w:p w14:paraId="5ACAD793"/>
                          <w:p w14:paraId="7F5507DC"/>
                          <w:p w14:paraId="404CF73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2D848E3"/>
                    <w:p w14:paraId="70258FB1"/>
                    <w:p w14:paraId="5ACAD793"/>
                    <w:p w14:paraId="7F5507DC"/>
                    <w:p w14:paraId="404CF739">
                      <w:pPr>
                        <w:jc w:val="center"/>
                        <w:rPr>
                          <w:rFonts w:hAnsi="宋体"/>
                        </w:rPr>
                      </w:pPr>
                      <w:r>
                        <w:rPr>
                          <w:rFonts w:hint="eastAsia" w:hAnsi="宋体"/>
                        </w:rPr>
                        <w:t>法定代表人身份证正面</w:t>
                      </w:r>
                    </w:p>
                  </w:txbxContent>
                </v:textbox>
              </v:shape>
            </w:pict>
          </mc:Fallback>
        </mc:AlternateContent>
      </w:r>
    </w:p>
    <w:p w14:paraId="13B2515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344E42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F95AA4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901E8C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EAA414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81044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5AEB52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2BE3B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7F039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A9EBD2A"/>
                          <w:p w14:paraId="3C03366D">
                            <w:pPr>
                              <w:jc w:val="center"/>
                              <w:rPr>
                                <w:rFonts w:hAnsi="宋体"/>
                                <w:color w:val="FF0000"/>
                              </w:rPr>
                            </w:pPr>
                          </w:p>
                          <w:p w14:paraId="7915B735">
                            <w:pPr>
                              <w:jc w:val="center"/>
                              <w:rPr>
                                <w:rFonts w:hAnsi="宋体"/>
                                <w:color w:val="FF0000"/>
                              </w:rPr>
                            </w:pPr>
                          </w:p>
                          <w:p w14:paraId="384BB5D0">
                            <w:pPr>
                              <w:jc w:val="center"/>
                              <w:rPr>
                                <w:rFonts w:hAnsi="宋体"/>
                                <w:color w:val="FF0000"/>
                              </w:rPr>
                            </w:pPr>
                          </w:p>
                          <w:p w14:paraId="650F9585">
                            <w:pPr>
                              <w:jc w:val="center"/>
                            </w:pPr>
                            <w:r>
                              <w:rPr>
                                <w:rFonts w:hint="eastAsia" w:hAnsi="宋体"/>
                              </w:rPr>
                              <w:t>被授权人身份证反面</w:t>
                            </w:r>
                          </w:p>
                          <w:p w14:paraId="2076021B"/>
                          <w:p w14:paraId="79567F5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A9EBD2A"/>
                    <w:p w14:paraId="3C03366D">
                      <w:pPr>
                        <w:jc w:val="center"/>
                        <w:rPr>
                          <w:rFonts w:hAnsi="宋体"/>
                          <w:color w:val="FF0000"/>
                        </w:rPr>
                      </w:pPr>
                    </w:p>
                    <w:p w14:paraId="7915B735">
                      <w:pPr>
                        <w:jc w:val="center"/>
                        <w:rPr>
                          <w:rFonts w:hAnsi="宋体"/>
                          <w:color w:val="FF0000"/>
                        </w:rPr>
                      </w:pPr>
                    </w:p>
                    <w:p w14:paraId="384BB5D0">
                      <w:pPr>
                        <w:jc w:val="center"/>
                        <w:rPr>
                          <w:rFonts w:hAnsi="宋体"/>
                          <w:color w:val="FF0000"/>
                        </w:rPr>
                      </w:pPr>
                    </w:p>
                    <w:p w14:paraId="650F9585">
                      <w:pPr>
                        <w:jc w:val="center"/>
                      </w:pPr>
                      <w:r>
                        <w:rPr>
                          <w:rFonts w:hint="eastAsia" w:hAnsi="宋体"/>
                        </w:rPr>
                        <w:t>被授权人身份证反面</w:t>
                      </w:r>
                    </w:p>
                    <w:p w14:paraId="2076021B"/>
                    <w:p w14:paraId="79567F59"/>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AE93D6C"/>
                          <w:p w14:paraId="106BD244">
                            <w:pPr>
                              <w:jc w:val="center"/>
                              <w:rPr>
                                <w:rFonts w:hAnsi="宋体"/>
                                <w:color w:val="FF0000"/>
                              </w:rPr>
                            </w:pPr>
                          </w:p>
                          <w:p w14:paraId="3E814382">
                            <w:pPr>
                              <w:jc w:val="center"/>
                              <w:rPr>
                                <w:rFonts w:hAnsi="宋体"/>
                                <w:color w:val="FF0000"/>
                              </w:rPr>
                            </w:pPr>
                          </w:p>
                          <w:p w14:paraId="267F3568">
                            <w:pPr>
                              <w:jc w:val="center"/>
                              <w:rPr>
                                <w:rFonts w:hAnsi="宋体"/>
                                <w:color w:val="FF0000"/>
                              </w:rPr>
                            </w:pPr>
                          </w:p>
                          <w:p w14:paraId="3EFAE291">
                            <w:pPr>
                              <w:jc w:val="center"/>
                            </w:pPr>
                            <w:r>
                              <w:rPr>
                                <w:rFonts w:hint="eastAsia" w:hAnsi="宋体"/>
                              </w:rPr>
                              <w:t>被授权人身份证正面</w:t>
                            </w:r>
                          </w:p>
                          <w:p w14:paraId="36760E65"/>
                          <w:p w14:paraId="1BD3FA6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2AE93D6C"/>
                    <w:p w14:paraId="106BD244">
                      <w:pPr>
                        <w:jc w:val="center"/>
                        <w:rPr>
                          <w:rFonts w:hAnsi="宋体"/>
                          <w:color w:val="FF0000"/>
                        </w:rPr>
                      </w:pPr>
                    </w:p>
                    <w:p w14:paraId="3E814382">
                      <w:pPr>
                        <w:jc w:val="center"/>
                        <w:rPr>
                          <w:rFonts w:hAnsi="宋体"/>
                          <w:color w:val="FF0000"/>
                        </w:rPr>
                      </w:pPr>
                    </w:p>
                    <w:p w14:paraId="267F3568">
                      <w:pPr>
                        <w:jc w:val="center"/>
                        <w:rPr>
                          <w:rFonts w:hAnsi="宋体"/>
                          <w:color w:val="FF0000"/>
                        </w:rPr>
                      </w:pPr>
                    </w:p>
                    <w:p w14:paraId="3EFAE291">
                      <w:pPr>
                        <w:jc w:val="center"/>
                      </w:pPr>
                      <w:r>
                        <w:rPr>
                          <w:rFonts w:hint="eastAsia" w:hAnsi="宋体"/>
                        </w:rPr>
                        <w:t>被授权人身份证正面</w:t>
                      </w:r>
                    </w:p>
                    <w:p w14:paraId="36760E65"/>
                    <w:p w14:paraId="1BD3FA6E"/>
                  </w:txbxContent>
                </v:textbox>
              </v:shape>
            </w:pict>
          </mc:Fallback>
        </mc:AlternateContent>
      </w:r>
    </w:p>
    <w:p w14:paraId="3B8042B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44E236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ED4573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85FA9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62C2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BC8C424">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2" w:type="first"/>
          <w:footerReference r:id="rId11"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D9B64DF">
      <w:pPr>
        <w:pStyle w:val="2"/>
        <w:pageBreakBefore/>
        <w:spacing w:line="360" w:lineRule="auto"/>
        <w:rPr>
          <w:rFonts w:hint="eastAsia" w:hAnsi="宋体" w:eastAsia="宋体"/>
          <w:b/>
          <w:color w:val="auto"/>
          <w:sz w:val="30"/>
          <w:szCs w:val="30"/>
          <w:highlight w:val="none"/>
          <w:lang w:val="zh-CN" w:eastAsia="zh-CN"/>
        </w:rPr>
      </w:pPr>
      <w:bookmarkStart w:id="573" w:name="_Toc12400"/>
      <w:bookmarkStart w:id="574" w:name="_Toc32328"/>
      <w:bookmarkStart w:id="575" w:name="_Toc15716"/>
      <w:bookmarkStart w:id="576" w:name="_Toc16282"/>
      <w:bookmarkStart w:id="577" w:name="_Toc3488"/>
      <w:bookmarkStart w:id="578" w:name="_Toc142508373"/>
      <w:bookmarkStart w:id="579" w:name="_Toc94107214"/>
      <w:bookmarkStart w:id="580" w:name="_Toc140596933"/>
      <w:bookmarkStart w:id="581" w:name="_Toc104991880"/>
      <w:bookmarkStart w:id="582"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日以来具有造价咨询</w:t>
      </w:r>
      <w:r>
        <w:rPr>
          <w:rFonts w:hint="eastAsia" w:hAnsi="宋体"/>
          <w:b/>
          <w:bCs/>
          <w:color w:val="auto"/>
          <w:sz w:val="32"/>
          <w:szCs w:val="32"/>
          <w:highlight w:val="none"/>
        </w:rPr>
        <w:t>（含概算编制、概算审核、预算(或招标控制价)编制、预算(或招标控制价)审核、结算编制和结算审核，以上业绩可包括在同一合同或多份合同内）的服务业绩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573"/>
      <w:bookmarkEnd w:id="574"/>
      <w:bookmarkEnd w:id="575"/>
      <w:r>
        <w:rPr>
          <w:rFonts w:hint="eastAsia" w:hAnsi="宋体"/>
          <w:b/>
          <w:bCs/>
          <w:color w:val="auto"/>
          <w:sz w:val="32"/>
          <w:szCs w:val="32"/>
          <w:highlight w:val="none"/>
          <w:lang w:eastAsia="zh-CN"/>
        </w:rPr>
        <w:t>】</w:t>
      </w:r>
      <w:bookmarkEnd w:id="576"/>
      <w:bookmarkEnd w:id="577"/>
    </w:p>
    <w:p w14:paraId="3582DC46">
      <w:pPr>
        <w:spacing w:line="360" w:lineRule="auto"/>
        <w:rPr>
          <w:rFonts w:hint="eastAsia" w:ascii="宋体" w:hAnsi="宋体" w:eastAsia="宋体" w:cs="宋体"/>
          <w:b/>
          <w:color w:val="auto"/>
          <w:szCs w:val="21"/>
          <w:highlight w:val="none"/>
          <w:lang w:val="zh-CN"/>
        </w:rPr>
      </w:pP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20"/>
        <w:gridCol w:w="1673"/>
        <w:gridCol w:w="1194"/>
        <w:gridCol w:w="1704"/>
        <w:gridCol w:w="1059"/>
        <w:gridCol w:w="873"/>
        <w:gridCol w:w="1118"/>
        <w:gridCol w:w="685"/>
      </w:tblGrid>
      <w:tr w14:paraId="00F9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30" w:hRule="exact"/>
          <w:jc w:val="center"/>
        </w:trPr>
        <w:tc>
          <w:tcPr>
            <w:tcW w:w="449" w:type="pct"/>
            <w:noWrap w:val="0"/>
            <w:vAlign w:val="center"/>
          </w:tcPr>
          <w:p w14:paraId="199373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序号</w:t>
            </w:r>
          </w:p>
        </w:tc>
        <w:tc>
          <w:tcPr>
            <w:tcW w:w="916" w:type="pct"/>
            <w:noWrap w:val="0"/>
            <w:vAlign w:val="center"/>
          </w:tcPr>
          <w:p w14:paraId="042A548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54" w:type="pct"/>
            <w:noWrap w:val="0"/>
            <w:vAlign w:val="center"/>
          </w:tcPr>
          <w:p w14:paraId="7017C90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业主方名称</w:t>
            </w:r>
          </w:p>
        </w:tc>
        <w:tc>
          <w:tcPr>
            <w:tcW w:w="933" w:type="pct"/>
            <w:noWrap w:val="0"/>
            <w:vAlign w:val="center"/>
          </w:tcPr>
          <w:p w14:paraId="75F897A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val="en-US" w:eastAsia="zh-CN"/>
              </w:rPr>
              <w:t>标的</w:t>
            </w:r>
          </w:p>
        </w:tc>
        <w:tc>
          <w:tcPr>
            <w:tcW w:w="580" w:type="pct"/>
            <w:noWrap w:val="0"/>
            <w:vAlign w:val="center"/>
          </w:tcPr>
          <w:p w14:paraId="5E8E076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478" w:type="pct"/>
            <w:noWrap w:val="0"/>
            <w:vAlign w:val="center"/>
          </w:tcPr>
          <w:p w14:paraId="74391FE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服务完成情况</w:t>
            </w:r>
          </w:p>
        </w:tc>
        <w:tc>
          <w:tcPr>
            <w:tcW w:w="612" w:type="pct"/>
            <w:noWrap w:val="0"/>
            <w:vAlign w:val="center"/>
          </w:tcPr>
          <w:p w14:paraId="3F3F82C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业主联系人及电话</w:t>
            </w:r>
          </w:p>
        </w:tc>
        <w:tc>
          <w:tcPr>
            <w:tcW w:w="375" w:type="pct"/>
            <w:noWrap w:val="0"/>
            <w:vAlign w:val="center"/>
          </w:tcPr>
          <w:p w14:paraId="4AFBC9A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840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5AD524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16" w:type="pct"/>
            <w:noWrap w:val="0"/>
            <w:vAlign w:val="center"/>
          </w:tcPr>
          <w:p w14:paraId="132F47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4" w:type="pct"/>
            <w:noWrap w:val="0"/>
            <w:vAlign w:val="center"/>
          </w:tcPr>
          <w:p w14:paraId="7A344C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3" w:type="pct"/>
            <w:noWrap w:val="0"/>
            <w:vAlign w:val="center"/>
          </w:tcPr>
          <w:p w14:paraId="4F4BD9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0" w:type="pct"/>
            <w:noWrap w:val="0"/>
            <w:vAlign w:val="center"/>
          </w:tcPr>
          <w:p w14:paraId="557EF19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02023B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77F423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04373E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9AE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6D2A35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16" w:type="pct"/>
            <w:noWrap w:val="0"/>
            <w:vAlign w:val="center"/>
          </w:tcPr>
          <w:p w14:paraId="481E7F7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4" w:type="pct"/>
            <w:noWrap w:val="0"/>
            <w:vAlign w:val="center"/>
          </w:tcPr>
          <w:p w14:paraId="7E9BC0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3" w:type="pct"/>
            <w:noWrap w:val="0"/>
            <w:vAlign w:val="center"/>
          </w:tcPr>
          <w:p w14:paraId="279D7E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0" w:type="pct"/>
            <w:noWrap w:val="0"/>
            <w:vAlign w:val="center"/>
          </w:tcPr>
          <w:p w14:paraId="6B6C9D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0C6E67F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25E508E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00E3E9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4972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02C233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16" w:type="pct"/>
            <w:noWrap w:val="0"/>
            <w:vAlign w:val="center"/>
          </w:tcPr>
          <w:p w14:paraId="681F292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4" w:type="pct"/>
            <w:noWrap w:val="0"/>
            <w:vAlign w:val="center"/>
          </w:tcPr>
          <w:p w14:paraId="6D2707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3" w:type="pct"/>
            <w:noWrap w:val="0"/>
            <w:vAlign w:val="center"/>
          </w:tcPr>
          <w:p w14:paraId="713660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0" w:type="pct"/>
            <w:noWrap w:val="0"/>
            <w:vAlign w:val="center"/>
          </w:tcPr>
          <w:p w14:paraId="2E6A35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4B6DA3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29166A3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6FF2A9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2BB0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449" w:type="pct"/>
            <w:noWrap w:val="0"/>
            <w:vAlign w:val="center"/>
          </w:tcPr>
          <w:p w14:paraId="3F8551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916" w:type="pct"/>
            <w:noWrap w:val="0"/>
            <w:vAlign w:val="center"/>
          </w:tcPr>
          <w:p w14:paraId="391582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4" w:type="pct"/>
            <w:noWrap w:val="0"/>
            <w:vAlign w:val="center"/>
          </w:tcPr>
          <w:p w14:paraId="037475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33" w:type="pct"/>
            <w:noWrap w:val="0"/>
            <w:vAlign w:val="center"/>
          </w:tcPr>
          <w:p w14:paraId="67FE0F3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80" w:type="pct"/>
            <w:noWrap w:val="0"/>
            <w:vAlign w:val="center"/>
          </w:tcPr>
          <w:p w14:paraId="258BA7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78" w:type="pct"/>
            <w:noWrap w:val="0"/>
            <w:vAlign w:val="top"/>
          </w:tcPr>
          <w:p w14:paraId="07763E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2" w:type="pct"/>
            <w:noWrap w:val="0"/>
            <w:vAlign w:val="center"/>
          </w:tcPr>
          <w:p w14:paraId="2D9EF9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75" w:type="pct"/>
            <w:noWrap w:val="0"/>
            <w:vAlign w:val="center"/>
          </w:tcPr>
          <w:p w14:paraId="79737B3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264B7CE6">
      <w:pPr>
        <w:spacing w:line="360" w:lineRule="auto"/>
        <w:ind w:left="424" w:hanging="424" w:hangingChars="201"/>
        <w:rPr>
          <w:rFonts w:hint="eastAsia" w:ascii="宋体" w:hAnsi="宋体" w:eastAsia="宋体" w:cs="宋体"/>
          <w:b/>
          <w:color w:val="auto"/>
          <w:szCs w:val="21"/>
          <w:highlight w:val="none"/>
          <w:lang w:val="zh-CN"/>
        </w:rPr>
      </w:pPr>
    </w:p>
    <w:p w14:paraId="7B668C55">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728BD302">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）业绩须附合同及项目的相关成果文件关键页复印件加盖投标人公章（合同</w:t>
      </w:r>
      <w:r>
        <w:rPr>
          <w:rFonts w:hint="eastAsia" w:ascii="宋体" w:hAnsi="宋体" w:eastAsia="宋体" w:cs="宋体"/>
          <w:color w:val="auto"/>
          <w:szCs w:val="21"/>
          <w:highlight w:val="none"/>
          <w:lang w:val="en-US" w:eastAsia="zh-CN"/>
        </w:rPr>
        <w:t>服务提供</w:t>
      </w:r>
      <w:r>
        <w:rPr>
          <w:rFonts w:hint="eastAsia" w:ascii="宋体" w:hAnsi="宋体" w:eastAsia="宋体" w:cs="宋体"/>
          <w:color w:val="auto"/>
          <w:szCs w:val="21"/>
          <w:highlight w:val="none"/>
          <w:lang w:val="zh-CN"/>
        </w:rPr>
        <w:t>方必须为投标人）；</w:t>
      </w:r>
    </w:p>
    <w:p w14:paraId="2A883BFB">
      <w:pPr>
        <w:tabs>
          <w:tab w:val="left" w:pos="567"/>
        </w:tabs>
        <w:autoSpaceDE/>
        <w:autoSpaceDN/>
        <w:adjustRightInd w:val="0"/>
        <w:spacing w:line="360" w:lineRule="auto"/>
        <w:ind w:left="527" w:hanging="527" w:hangingChars="250"/>
        <w:jc w:val="left"/>
        <w:outlineLvl w:val="9"/>
        <w:rPr>
          <w:rFonts w:hint="eastAsia" w:ascii="宋体" w:hAnsi="宋体" w:eastAsia="宋体" w:cs="宋体"/>
          <w:b/>
          <w:color w:val="auto"/>
          <w:szCs w:val="21"/>
          <w:highlight w:val="none"/>
          <w:lang w:val="zh-CN"/>
        </w:rPr>
      </w:pPr>
      <w:bookmarkStart w:id="583" w:name="_Toc24862"/>
      <w:bookmarkStart w:id="584" w:name="_Toc12931"/>
      <w:bookmarkStart w:id="585" w:name="_Toc20010"/>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）若合同等业绩证明材料无法反映资格条件[合同签订日期为202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年1月1日或以后，合同标的</w:t>
      </w:r>
      <w:r>
        <w:rPr>
          <w:rFonts w:hint="eastAsia" w:ascii="宋体" w:hAnsi="宋体" w:eastAsia="宋体" w:cs="宋体"/>
          <w:b/>
          <w:color w:val="auto"/>
          <w:szCs w:val="21"/>
          <w:highlight w:val="none"/>
          <w:lang w:val="en-US" w:eastAsia="zh-CN"/>
        </w:rPr>
        <w:t>包括</w:t>
      </w:r>
      <w:r>
        <w:rPr>
          <w:rFonts w:hint="eastAsia" w:ascii="宋体" w:hAnsi="宋体" w:eastAsia="宋体" w:cs="宋体"/>
          <w:b/>
          <w:color w:val="auto"/>
          <w:szCs w:val="21"/>
          <w:highlight w:val="none"/>
          <w:lang w:val="zh-CN"/>
        </w:rPr>
        <w:t>概算编制、概算审核、预算(或招标控制价)编制、预算(或招标控制价)审核、结算编制和结算审核（</w:t>
      </w:r>
      <w:r>
        <w:rPr>
          <w:rFonts w:hint="eastAsia" w:ascii="宋体" w:hAnsi="宋体" w:eastAsia="宋体" w:cs="宋体"/>
          <w:b/>
          <w:color w:val="auto"/>
          <w:szCs w:val="21"/>
          <w:highlight w:val="none"/>
          <w:lang w:val="en-US" w:eastAsia="zh-CN"/>
        </w:rPr>
        <w:t>以上标的可</w:t>
      </w:r>
      <w:r>
        <w:rPr>
          <w:rFonts w:hint="eastAsia" w:hAnsi="宋体" w:eastAsia="宋体"/>
          <w:b/>
          <w:color w:val="auto"/>
          <w:szCs w:val="21"/>
          <w:highlight w:val="none"/>
          <w:lang w:val="zh-CN"/>
        </w:rPr>
        <w:t>包括在同一合同或多份合同内</w:t>
      </w:r>
      <w:r>
        <w:rPr>
          <w:rFonts w:hint="eastAsia" w:ascii="宋体" w:hAnsi="宋体" w:eastAsia="宋体" w:cs="宋体"/>
          <w:b/>
          <w:color w:val="auto"/>
          <w:szCs w:val="21"/>
          <w:highlight w:val="none"/>
          <w:lang w:val="zh-CN"/>
        </w:rPr>
        <w:t>）]的，还需同时提供业主方出具的书面补充情况说明文件复印件（补充情况说明文件复印件能显示业主方公章）；</w:t>
      </w:r>
    </w:p>
    <w:p w14:paraId="11BD257F">
      <w:pPr>
        <w:tabs>
          <w:tab w:val="left" w:pos="567"/>
        </w:tabs>
        <w:autoSpaceDE/>
        <w:autoSpaceDN/>
        <w:adjustRightInd w:val="0"/>
        <w:spacing w:line="360" w:lineRule="auto"/>
        <w:ind w:left="527" w:hanging="527" w:hangingChars="250"/>
        <w:jc w:val="left"/>
        <w:outlineLvl w:val="9"/>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）表格中的“</w:t>
      </w:r>
      <w:r>
        <w:rPr>
          <w:rFonts w:hint="eastAsia" w:ascii="宋体" w:hAnsi="宋体" w:eastAsia="宋体" w:cs="宋体"/>
          <w:b/>
          <w:color w:val="auto"/>
          <w:szCs w:val="21"/>
          <w:highlight w:val="none"/>
          <w:lang w:val="en-US" w:eastAsia="zh-CN"/>
        </w:rPr>
        <w:t>合同标的</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应填写：概算编制、概算审核、预算(或招标控制价)编制、预算(或招标控制价)审核、结算编制、结算审核其中一种或多种。</w:t>
      </w:r>
    </w:p>
    <w:p w14:paraId="5168E9FA">
      <w:pPr>
        <w:tabs>
          <w:tab w:val="left" w:pos="567"/>
        </w:tabs>
        <w:autoSpaceDE/>
        <w:autoSpaceDN/>
        <w:adjustRightInd w:val="0"/>
        <w:spacing w:line="360" w:lineRule="auto"/>
        <w:ind w:left="527" w:hanging="527" w:hangingChars="250"/>
        <w:jc w:val="left"/>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83"/>
      <w:bookmarkEnd w:id="584"/>
      <w:bookmarkEnd w:id="58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33DD5C68">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7F35200">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86" w:name="_Toc21843"/>
      <w:bookmarkStart w:id="587" w:name="_Toc8214"/>
      <w:bookmarkStart w:id="588" w:name="_Toc8121"/>
      <w:bookmarkStart w:id="589" w:name="_Toc17428"/>
      <w:bookmarkStart w:id="590" w:name="_Toc7508"/>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78"/>
      <w:bookmarkEnd w:id="579"/>
      <w:bookmarkEnd w:id="580"/>
      <w:bookmarkEnd w:id="581"/>
      <w:bookmarkEnd w:id="582"/>
      <w:bookmarkEnd w:id="586"/>
      <w:bookmarkEnd w:id="587"/>
      <w:bookmarkEnd w:id="588"/>
      <w:bookmarkEnd w:id="589"/>
      <w:bookmarkEnd w:id="590"/>
    </w:p>
    <w:p w14:paraId="1D0132FB">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A60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354132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249144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BBE12F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1289C9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0A1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CC4FC9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D30C9F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2B51AC4">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F707668">
            <w:pPr>
              <w:autoSpaceDE w:val="0"/>
              <w:autoSpaceDN w:val="0"/>
              <w:adjustRightInd w:val="0"/>
              <w:spacing w:line="360" w:lineRule="auto"/>
              <w:jc w:val="center"/>
              <w:rPr>
                <w:rFonts w:ascii="宋体" w:hAnsi="宋体" w:eastAsia="宋体" w:cs="宋体"/>
                <w:color w:val="auto"/>
                <w:kern w:val="0"/>
                <w:szCs w:val="21"/>
                <w:highlight w:val="none"/>
              </w:rPr>
            </w:pPr>
          </w:p>
        </w:tc>
      </w:tr>
      <w:tr w14:paraId="7F95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E44E47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26C10299">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329C76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C7A4F91">
            <w:pPr>
              <w:autoSpaceDE w:val="0"/>
              <w:autoSpaceDN w:val="0"/>
              <w:adjustRightInd w:val="0"/>
              <w:spacing w:line="360" w:lineRule="auto"/>
              <w:jc w:val="center"/>
              <w:rPr>
                <w:rFonts w:ascii="宋体" w:hAnsi="宋体" w:eastAsia="宋体" w:cs="宋体"/>
                <w:color w:val="auto"/>
                <w:kern w:val="0"/>
                <w:szCs w:val="21"/>
                <w:highlight w:val="none"/>
              </w:rPr>
            </w:pPr>
          </w:p>
        </w:tc>
      </w:tr>
      <w:tr w14:paraId="1972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4A5787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4C91979">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A3AE9FA">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8E70818">
            <w:pPr>
              <w:autoSpaceDE w:val="0"/>
              <w:autoSpaceDN w:val="0"/>
              <w:adjustRightInd w:val="0"/>
              <w:spacing w:line="360" w:lineRule="auto"/>
              <w:jc w:val="center"/>
              <w:rPr>
                <w:rFonts w:ascii="宋体" w:hAnsi="宋体" w:eastAsia="宋体" w:cs="宋体"/>
                <w:color w:val="auto"/>
                <w:kern w:val="0"/>
                <w:szCs w:val="21"/>
                <w:highlight w:val="none"/>
              </w:rPr>
            </w:pPr>
          </w:p>
        </w:tc>
      </w:tr>
    </w:tbl>
    <w:p w14:paraId="5ED9E4D4">
      <w:pPr>
        <w:autoSpaceDE w:val="0"/>
        <w:autoSpaceDN w:val="0"/>
        <w:adjustRightInd w:val="0"/>
        <w:spacing w:line="360" w:lineRule="auto"/>
        <w:jc w:val="left"/>
        <w:rPr>
          <w:rFonts w:ascii="宋体" w:hAnsi="宋体" w:eastAsia="宋体" w:cs="宋体"/>
          <w:color w:val="auto"/>
          <w:kern w:val="0"/>
          <w:szCs w:val="21"/>
          <w:highlight w:val="none"/>
        </w:rPr>
      </w:pPr>
    </w:p>
    <w:p w14:paraId="60DEA886">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0AA1515C">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0696CA50">
      <w:pPr>
        <w:autoSpaceDE w:val="0"/>
        <w:autoSpaceDN w:val="0"/>
        <w:adjustRightInd w:val="0"/>
        <w:spacing w:line="360" w:lineRule="auto"/>
        <w:jc w:val="center"/>
        <w:rPr>
          <w:rFonts w:ascii="宋体" w:hAnsi="宋体" w:eastAsia="宋体" w:cs="宋体"/>
          <w:color w:val="auto"/>
          <w:kern w:val="0"/>
          <w:sz w:val="24"/>
          <w:szCs w:val="24"/>
          <w:highlight w:val="none"/>
        </w:rPr>
      </w:pPr>
    </w:p>
    <w:p w14:paraId="6DD012A3">
      <w:pPr>
        <w:spacing w:line="360" w:lineRule="auto"/>
        <w:ind w:firstLine="494" w:firstLineChars="206"/>
        <w:rPr>
          <w:rFonts w:ascii="宋体" w:hAnsi="宋体" w:eastAsia="宋体" w:cs="宋体"/>
          <w:color w:val="auto"/>
          <w:kern w:val="0"/>
          <w:sz w:val="24"/>
          <w:szCs w:val="24"/>
          <w:highlight w:val="none"/>
        </w:rPr>
      </w:pPr>
    </w:p>
    <w:p w14:paraId="4DAAA4D3">
      <w:pPr>
        <w:spacing w:line="360" w:lineRule="auto"/>
        <w:ind w:firstLine="494" w:firstLineChars="206"/>
        <w:rPr>
          <w:rFonts w:ascii="宋体" w:hAnsi="宋体" w:eastAsia="宋体" w:cs="宋体"/>
          <w:color w:val="auto"/>
          <w:kern w:val="0"/>
          <w:sz w:val="24"/>
          <w:szCs w:val="24"/>
          <w:highlight w:val="none"/>
        </w:rPr>
      </w:pPr>
    </w:p>
    <w:p w14:paraId="60EC9AB2">
      <w:pPr>
        <w:spacing w:line="360" w:lineRule="auto"/>
        <w:ind w:firstLine="494" w:firstLineChars="206"/>
        <w:rPr>
          <w:rFonts w:ascii="宋体" w:hAnsi="宋体" w:eastAsia="宋体" w:cs="宋体"/>
          <w:color w:val="auto"/>
          <w:kern w:val="0"/>
          <w:sz w:val="24"/>
          <w:szCs w:val="24"/>
          <w:highlight w:val="none"/>
        </w:rPr>
      </w:pPr>
    </w:p>
    <w:p w14:paraId="3FCC9C9D">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0A3CD80">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DB2E1DD">
      <w:pPr>
        <w:rPr>
          <w:rFonts w:ascii="宋体" w:hAnsi="宋体" w:eastAsia="宋体" w:cs="宋体"/>
          <w:color w:val="auto"/>
          <w:szCs w:val="24"/>
          <w:highlight w:val="none"/>
          <w:lang w:val="zh-CN"/>
        </w:rPr>
      </w:pPr>
      <w:bookmarkStart w:id="591" w:name="_Toc30939"/>
      <w:bookmarkStart w:id="592" w:name="_Toc6412"/>
      <w:bookmarkStart w:id="593" w:name="_Toc142508374"/>
      <w:bookmarkStart w:id="594" w:name="_Toc2031_WPSOffice_Level2"/>
      <w:bookmarkStart w:id="595" w:name="_Toc102860423"/>
      <w:bookmarkStart w:id="596" w:name="_Toc486167714"/>
      <w:bookmarkStart w:id="597" w:name="_Toc1977731"/>
      <w:bookmarkStart w:id="598" w:name="_Toc94107215"/>
      <w:bookmarkStart w:id="599" w:name="_Toc102860079"/>
      <w:bookmarkStart w:id="600" w:name="_Toc140596934"/>
      <w:bookmarkStart w:id="601" w:name="_Toc104991881"/>
      <w:bookmarkStart w:id="602" w:name="_Toc533708126"/>
      <w:r>
        <w:rPr>
          <w:rFonts w:ascii="宋体" w:hAnsi="宋体" w:eastAsia="宋体" w:cs="宋体"/>
          <w:color w:val="auto"/>
          <w:szCs w:val="24"/>
          <w:highlight w:val="none"/>
          <w:lang w:val="zh-CN"/>
        </w:rPr>
        <w:br w:type="page"/>
      </w:r>
    </w:p>
    <w:p w14:paraId="0F3B11F5">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03" w:name="_Toc23453"/>
      <w:bookmarkStart w:id="604" w:name="_Toc17508"/>
      <w:bookmarkStart w:id="605" w:name="_Toc28791"/>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5F0BF1E3">
      <w:pPr>
        <w:autoSpaceDE w:val="0"/>
        <w:autoSpaceDN w:val="0"/>
        <w:adjustRightInd w:val="0"/>
        <w:spacing w:line="360" w:lineRule="auto"/>
        <w:jc w:val="center"/>
        <w:rPr>
          <w:rFonts w:ascii="宋体" w:hAnsi="宋体" w:eastAsia="宋体" w:cs="宋体"/>
          <w:b/>
          <w:bCs/>
          <w:color w:val="auto"/>
          <w:sz w:val="30"/>
          <w:szCs w:val="30"/>
          <w:highlight w:val="none"/>
        </w:rPr>
      </w:pPr>
      <w:bookmarkStart w:id="606" w:name="_Toc2773_WPSOffice_Level3"/>
      <w:r>
        <w:rPr>
          <w:rFonts w:hint="eastAsia" w:ascii="宋体" w:hAnsi="宋体" w:eastAsia="宋体" w:cs="宋体"/>
          <w:b/>
          <w:bCs/>
          <w:color w:val="auto"/>
          <w:sz w:val="30"/>
          <w:szCs w:val="30"/>
          <w:highlight w:val="none"/>
          <w:lang w:val="zh-CN"/>
        </w:rPr>
        <w:t>投标人基本情况一览表</w:t>
      </w:r>
      <w:bookmarkEnd w:id="606"/>
    </w:p>
    <w:p w14:paraId="56FA4132">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004FA86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137764D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4F2D59A">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3B5534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0979AB9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730198F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DAC8AF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EBA387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41C894C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5843024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F56671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A4C533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D8E198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4A4BEE4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CB3D514">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7C3A17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D03CE02">
      <w:pPr>
        <w:autoSpaceDE w:val="0"/>
        <w:autoSpaceDN w:val="0"/>
        <w:adjustRightInd w:val="0"/>
        <w:spacing w:line="360" w:lineRule="auto"/>
        <w:ind w:firstLine="42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6E2D2D0">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30BE8A8">
      <w:pPr>
        <w:autoSpaceDE w:val="0"/>
        <w:autoSpaceDN w:val="0"/>
        <w:adjustRightInd w:val="0"/>
        <w:spacing w:line="360" w:lineRule="auto"/>
        <w:ind w:firstLine="42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B113D21">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CF50027">
      <w:pPr>
        <w:autoSpaceDE w:val="0"/>
        <w:autoSpaceDN w:val="0"/>
        <w:adjustRightInd w:val="0"/>
        <w:spacing w:line="360" w:lineRule="auto"/>
        <w:ind w:left="1060" w:leftChars="200" w:hanging="64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A74850C">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E89A7FF">
      <w:pPr>
        <w:autoSpaceDE w:val="0"/>
        <w:autoSpaceDN w:val="0"/>
        <w:adjustRightInd w:val="0"/>
        <w:spacing w:line="360" w:lineRule="auto"/>
        <w:ind w:firstLine="420" w:firstLineChars="200"/>
        <w:rPr>
          <w:rFonts w:ascii="宋体" w:hAnsi="宋体" w:eastAsia="宋体" w:cs="宋体"/>
          <w:color w:val="auto"/>
          <w:szCs w:val="24"/>
          <w:highlight w:val="none"/>
        </w:rPr>
      </w:pPr>
    </w:p>
    <w:p w14:paraId="597E0687">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35B3E38F">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C9EBAD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07" w:name="_Toc4023"/>
      <w:bookmarkStart w:id="608" w:name="_Toc16558"/>
      <w:bookmarkStart w:id="609" w:name="_Toc140596935"/>
      <w:bookmarkStart w:id="610" w:name="_Toc142508375"/>
      <w:bookmarkStart w:id="611" w:name="_Toc102860080"/>
      <w:bookmarkStart w:id="612" w:name="_Toc94107216"/>
      <w:bookmarkStart w:id="613" w:name="_Toc29014"/>
      <w:bookmarkStart w:id="614" w:name="_Toc10443"/>
      <w:bookmarkStart w:id="615" w:name="_Toc23174"/>
      <w:bookmarkStart w:id="616" w:name="_Toc102860424"/>
      <w:bookmarkStart w:id="617" w:name="_Toc104991882"/>
      <w:bookmarkStart w:id="618" w:name="_Toc533708128"/>
      <w:bookmarkStart w:id="619" w:name="_Toc486167715"/>
      <w:bookmarkStart w:id="620" w:name="_Toc1977733"/>
      <w:bookmarkStart w:id="621"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07"/>
      <w:bookmarkEnd w:id="608"/>
      <w:bookmarkEnd w:id="609"/>
      <w:bookmarkEnd w:id="610"/>
      <w:bookmarkEnd w:id="611"/>
      <w:bookmarkEnd w:id="612"/>
      <w:bookmarkEnd w:id="613"/>
      <w:bookmarkEnd w:id="614"/>
      <w:bookmarkEnd w:id="615"/>
      <w:bookmarkEnd w:id="616"/>
      <w:bookmarkEnd w:id="617"/>
    </w:p>
    <w:p w14:paraId="54730CB5">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A633ACD">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F71D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840D15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CFE4F7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426264E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307DE3B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081230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82AE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95E8C2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1DD10BAB">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AE0B8D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7ACC6DD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EF4C791">
            <w:pPr>
              <w:autoSpaceDE w:val="0"/>
              <w:autoSpaceDN w:val="0"/>
              <w:adjustRightInd w:val="0"/>
              <w:spacing w:line="360" w:lineRule="auto"/>
              <w:jc w:val="center"/>
              <w:rPr>
                <w:rFonts w:ascii="宋体" w:hAnsi="宋体" w:eastAsia="宋体" w:cs="宋体"/>
                <w:color w:val="auto"/>
                <w:kern w:val="0"/>
                <w:szCs w:val="21"/>
                <w:highlight w:val="none"/>
              </w:rPr>
            </w:pPr>
          </w:p>
        </w:tc>
      </w:tr>
      <w:tr w14:paraId="5650F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385E5C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624F797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C0B9D9B">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0F8CFF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F593615">
            <w:pPr>
              <w:autoSpaceDE w:val="0"/>
              <w:autoSpaceDN w:val="0"/>
              <w:adjustRightInd w:val="0"/>
              <w:spacing w:line="360" w:lineRule="auto"/>
              <w:jc w:val="center"/>
              <w:rPr>
                <w:rFonts w:ascii="宋体" w:hAnsi="宋体" w:eastAsia="宋体" w:cs="宋体"/>
                <w:color w:val="auto"/>
                <w:kern w:val="0"/>
                <w:szCs w:val="21"/>
                <w:highlight w:val="none"/>
              </w:rPr>
            </w:pPr>
          </w:p>
        </w:tc>
      </w:tr>
      <w:tr w14:paraId="3ED84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C8858D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53EA5BB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7F7BADA">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F88F79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9D22CDE">
            <w:pPr>
              <w:autoSpaceDE w:val="0"/>
              <w:autoSpaceDN w:val="0"/>
              <w:adjustRightInd w:val="0"/>
              <w:spacing w:line="360" w:lineRule="auto"/>
              <w:jc w:val="center"/>
              <w:rPr>
                <w:rFonts w:ascii="宋体" w:hAnsi="宋体" w:eastAsia="宋体" w:cs="宋体"/>
                <w:color w:val="auto"/>
                <w:kern w:val="0"/>
                <w:szCs w:val="21"/>
                <w:highlight w:val="none"/>
              </w:rPr>
            </w:pPr>
          </w:p>
        </w:tc>
      </w:tr>
      <w:tr w14:paraId="45B0B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666CF7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18F2D6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3863980">
            <w:pPr>
              <w:autoSpaceDE w:val="0"/>
              <w:autoSpaceDN w:val="0"/>
              <w:adjustRightInd w:val="0"/>
              <w:spacing w:line="360" w:lineRule="auto"/>
              <w:jc w:val="center"/>
              <w:rPr>
                <w:rFonts w:ascii="宋体" w:hAnsi="宋体" w:eastAsia="宋体" w:cs="宋体"/>
                <w:color w:val="auto"/>
                <w:kern w:val="0"/>
                <w:szCs w:val="21"/>
                <w:highlight w:val="none"/>
              </w:rPr>
            </w:pPr>
          </w:p>
        </w:tc>
      </w:tr>
    </w:tbl>
    <w:p w14:paraId="4230005B">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ED5E39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5E30119">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CEE58B6">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0FA422A9">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3"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18"/>
    <w:bookmarkEnd w:id="619"/>
    <w:bookmarkEnd w:id="620"/>
    <w:bookmarkEnd w:id="621"/>
    <w:p w14:paraId="572FBC6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22" w:name="_Toc486167716"/>
      <w:bookmarkStart w:id="623" w:name="_Toc739_WPSOffice_Level2"/>
      <w:bookmarkStart w:id="624" w:name="_Toc94107217"/>
      <w:bookmarkStart w:id="625" w:name="_Toc14514"/>
      <w:bookmarkStart w:id="626" w:name="_Toc17995"/>
      <w:bookmarkStart w:id="627" w:name="_Toc142508376"/>
      <w:bookmarkStart w:id="628" w:name="_Toc533708130"/>
      <w:bookmarkStart w:id="629" w:name="_Toc102860081"/>
      <w:bookmarkStart w:id="630" w:name="_Toc140596936"/>
      <w:bookmarkStart w:id="631" w:name="_Toc104991883"/>
      <w:bookmarkStart w:id="632" w:name="_Toc1977736"/>
      <w:bookmarkStart w:id="633" w:name="_Toc333"/>
      <w:bookmarkStart w:id="634" w:name="_Toc19640"/>
      <w:bookmarkStart w:id="635" w:name="_Toc102860425"/>
      <w:bookmarkStart w:id="636" w:name="_Toc26821"/>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2DCF1D0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37" w:name="_Toc26412_WPSOffice_Level3"/>
      <w:r>
        <w:rPr>
          <w:rFonts w:hint="eastAsia" w:ascii="宋体" w:hAnsi="宋体" w:eastAsia="宋体" w:cs="宋体"/>
          <w:b/>
          <w:bCs/>
          <w:color w:val="auto"/>
          <w:kern w:val="0"/>
          <w:sz w:val="28"/>
          <w:szCs w:val="30"/>
          <w:highlight w:val="none"/>
          <w:lang w:val="zh-CN"/>
        </w:rPr>
        <w:t>东莞市水务集团净水有限公司2025年造价咨询服务采购项目合同条款偏离表</w:t>
      </w:r>
      <w:bookmarkEnd w:id="637"/>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ED5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1366D2C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B2779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1F9D84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8B6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98E4969">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4157C09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B8E52D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04810F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E164C6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E97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42B33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2B3EF9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6AB189A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服务内容</w:t>
            </w:r>
          </w:p>
        </w:tc>
        <w:tc>
          <w:tcPr>
            <w:tcW w:w="1346" w:type="dxa"/>
            <w:vAlign w:val="center"/>
          </w:tcPr>
          <w:p w14:paraId="13102BD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049AAF">
            <w:pPr>
              <w:autoSpaceDE w:val="0"/>
              <w:autoSpaceDN w:val="0"/>
              <w:adjustRightInd w:val="0"/>
              <w:spacing w:line="400" w:lineRule="exact"/>
              <w:jc w:val="center"/>
              <w:rPr>
                <w:rFonts w:ascii="宋体" w:hAnsi="宋体" w:eastAsia="宋体" w:cs="宋体"/>
                <w:color w:val="auto"/>
                <w:kern w:val="0"/>
                <w:szCs w:val="21"/>
                <w:highlight w:val="none"/>
              </w:rPr>
            </w:pPr>
          </w:p>
        </w:tc>
      </w:tr>
      <w:tr w14:paraId="6BE2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9B5ED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1002C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0A4A222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服务期限</w:t>
            </w:r>
          </w:p>
        </w:tc>
        <w:tc>
          <w:tcPr>
            <w:tcW w:w="1346" w:type="dxa"/>
            <w:vAlign w:val="center"/>
          </w:tcPr>
          <w:p w14:paraId="73E86FB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BB0C5DE">
            <w:pPr>
              <w:autoSpaceDE w:val="0"/>
              <w:autoSpaceDN w:val="0"/>
              <w:adjustRightInd w:val="0"/>
              <w:spacing w:line="400" w:lineRule="exact"/>
              <w:jc w:val="center"/>
              <w:rPr>
                <w:rFonts w:ascii="宋体" w:hAnsi="宋体" w:eastAsia="宋体" w:cs="宋体"/>
                <w:color w:val="auto"/>
                <w:kern w:val="0"/>
                <w:szCs w:val="21"/>
                <w:highlight w:val="none"/>
              </w:rPr>
            </w:pPr>
          </w:p>
        </w:tc>
      </w:tr>
      <w:tr w14:paraId="4631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C0960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232D6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7AF0752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服务费的计算与支付</w:t>
            </w:r>
          </w:p>
        </w:tc>
        <w:tc>
          <w:tcPr>
            <w:tcW w:w="1346" w:type="dxa"/>
            <w:vAlign w:val="center"/>
          </w:tcPr>
          <w:p w14:paraId="436F70C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38035C5">
            <w:pPr>
              <w:autoSpaceDE w:val="0"/>
              <w:autoSpaceDN w:val="0"/>
              <w:adjustRightInd w:val="0"/>
              <w:spacing w:line="400" w:lineRule="exact"/>
              <w:jc w:val="center"/>
              <w:rPr>
                <w:rFonts w:ascii="宋体" w:hAnsi="宋体" w:eastAsia="宋体" w:cs="宋体"/>
                <w:color w:val="auto"/>
                <w:kern w:val="0"/>
                <w:szCs w:val="21"/>
                <w:highlight w:val="none"/>
              </w:rPr>
            </w:pPr>
          </w:p>
        </w:tc>
      </w:tr>
      <w:tr w14:paraId="12F0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DA486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E72675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120FE35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4AFCD7C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2A29570">
            <w:pPr>
              <w:autoSpaceDE w:val="0"/>
              <w:autoSpaceDN w:val="0"/>
              <w:adjustRightInd w:val="0"/>
              <w:spacing w:line="400" w:lineRule="exact"/>
              <w:jc w:val="center"/>
              <w:rPr>
                <w:rFonts w:ascii="宋体" w:hAnsi="宋体" w:eastAsia="宋体" w:cs="宋体"/>
                <w:color w:val="auto"/>
                <w:kern w:val="0"/>
                <w:szCs w:val="21"/>
                <w:highlight w:val="none"/>
              </w:rPr>
            </w:pPr>
          </w:p>
        </w:tc>
      </w:tr>
      <w:tr w14:paraId="1A4C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6E94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20AE9A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第五条 </w:t>
            </w:r>
          </w:p>
        </w:tc>
        <w:tc>
          <w:tcPr>
            <w:tcW w:w="3055" w:type="dxa"/>
            <w:vAlign w:val="center"/>
          </w:tcPr>
          <w:p w14:paraId="404FF65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甲方权利与义务</w:t>
            </w:r>
          </w:p>
        </w:tc>
        <w:tc>
          <w:tcPr>
            <w:tcW w:w="1346" w:type="dxa"/>
            <w:vAlign w:val="center"/>
          </w:tcPr>
          <w:p w14:paraId="23E027F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EBE602">
            <w:pPr>
              <w:autoSpaceDE w:val="0"/>
              <w:autoSpaceDN w:val="0"/>
              <w:adjustRightInd w:val="0"/>
              <w:spacing w:line="400" w:lineRule="exact"/>
              <w:jc w:val="center"/>
              <w:rPr>
                <w:rFonts w:ascii="宋体" w:hAnsi="宋体" w:eastAsia="宋体" w:cs="宋体"/>
                <w:color w:val="auto"/>
                <w:kern w:val="0"/>
                <w:szCs w:val="21"/>
                <w:highlight w:val="none"/>
              </w:rPr>
            </w:pPr>
          </w:p>
        </w:tc>
      </w:tr>
      <w:tr w14:paraId="6997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E0E58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799AC22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187664F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乙方权利与义务</w:t>
            </w:r>
          </w:p>
        </w:tc>
        <w:tc>
          <w:tcPr>
            <w:tcW w:w="1346" w:type="dxa"/>
            <w:vAlign w:val="center"/>
          </w:tcPr>
          <w:p w14:paraId="1B04A06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2C4FE5">
            <w:pPr>
              <w:autoSpaceDE w:val="0"/>
              <w:autoSpaceDN w:val="0"/>
              <w:adjustRightInd w:val="0"/>
              <w:spacing w:line="400" w:lineRule="exact"/>
              <w:jc w:val="center"/>
              <w:rPr>
                <w:rFonts w:ascii="宋体" w:hAnsi="宋体" w:eastAsia="宋体" w:cs="宋体"/>
                <w:color w:val="auto"/>
                <w:kern w:val="0"/>
                <w:szCs w:val="21"/>
                <w:highlight w:val="none"/>
              </w:rPr>
            </w:pPr>
          </w:p>
        </w:tc>
      </w:tr>
      <w:tr w14:paraId="1AEE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4DFA2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6F14C7B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3134D2E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成果文件交付期限及要求</w:t>
            </w:r>
          </w:p>
        </w:tc>
        <w:tc>
          <w:tcPr>
            <w:tcW w:w="1346" w:type="dxa"/>
            <w:vAlign w:val="center"/>
          </w:tcPr>
          <w:p w14:paraId="00C4863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8F522C1">
            <w:pPr>
              <w:autoSpaceDE w:val="0"/>
              <w:autoSpaceDN w:val="0"/>
              <w:adjustRightInd w:val="0"/>
              <w:spacing w:line="400" w:lineRule="exact"/>
              <w:jc w:val="center"/>
              <w:rPr>
                <w:rFonts w:ascii="宋体" w:hAnsi="宋体" w:eastAsia="宋体" w:cs="宋体"/>
                <w:color w:val="auto"/>
                <w:kern w:val="0"/>
                <w:szCs w:val="21"/>
                <w:highlight w:val="none"/>
              </w:rPr>
            </w:pPr>
          </w:p>
        </w:tc>
      </w:tr>
      <w:tr w14:paraId="2966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F6D8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76323F8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6408000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服务要求</w:t>
            </w:r>
          </w:p>
        </w:tc>
        <w:tc>
          <w:tcPr>
            <w:tcW w:w="1346" w:type="dxa"/>
            <w:vAlign w:val="center"/>
          </w:tcPr>
          <w:p w14:paraId="19EA23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E0BBABA">
            <w:pPr>
              <w:autoSpaceDE w:val="0"/>
              <w:autoSpaceDN w:val="0"/>
              <w:adjustRightInd w:val="0"/>
              <w:spacing w:line="400" w:lineRule="exact"/>
              <w:jc w:val="center"/>
              <w:rPr>
                <w:rFonts w:ascii="宋体" w:hAnsi="宋体" w:eastAsia="宋体" w:cs="宋体"/>
                <w:color w:val="auto"/>
                <w:kern w:val="0"/>
                <w:szCs w:val="21"/>
                <w:highlight w:val="none"/>
              </w:rPr>
            </w:pPr>
          </w:p>
        </w:tc>
      </w:tr>
      <w:tr w14:paraId="5B7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B78BC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A1550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1CA24B4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知识产权</w:t>
            </w:r>
          </w:p>
        </w:tc>
        <w:tc>
          <w:tcPr>
            <w:tcW w:w="1346" w:type="dxa"/>
            <w:vAlign w:val="center"/>
          </w:tcPr>
          <w:p w14:paraId="51375B8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F07C98">
            <w:pPr>
              <w:autoSpaceDE w:val="0"/>
              <w:autoSpaceDN w:val="0"/>
              <w:adjustRightInd w:val="0"/>
              <w:spacing w:line="400" w:lineRule="exact"/>
              <w:jc w:val="center"/>
              <w:rPr>
                <w:rFonts w:ascii="宋体" w:hAnsi="宋体" w:eastAsia="宋体" w:cs="宋体"/>
                <w:color w:val="auto"/>
                <w:kern w:val="0"/>
                <w:szCs w:val="21"/>
                <w:highlight w:val="none"/>
              </w:rPr>
            </w:pPr>
          </w:p>
        </w:tc>
      </w:tr>
      <w:tr w14:paraId="605A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AFA69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85FFC1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2C43E767">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046C14C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5D24987">
            <w:pPr>
              <w:autoSpaceDE w:val="0"/>
              <w:autoSpaceDN w:val="0"/>
              <w:adjustRightInd w:val="0"/>
              <w:spacing w:line="400" w:lineRule="exact"/>
              <w:jc w:val="center"/>
              <w:rPr>
                <w:rFonts w:ascii="宋体" w:hAnsi="宋体" w:eastAsia="宋体" w:cs="宋体"/>
                <w:color w:val="auto"/>
                <w:kern w:val="0"/>
                <w:szCs w:val="21"/>
                <w:highlight w:val="none"/>
              </w:rPr>
            </w:pPr>
          </w:p>
        </w:tc>
      </w:tr>
      <w:tr w14:paraId="77A1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6F413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80E1F4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47608AF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合同变更与终止</w:t>
            </w:r>
          </w:p>
        </w:tc>
        <w:tc>
          <w:tcPr>
            <w:tcW w:w="1346" w:type="dxa"/>
            <w:vAlign w:val="center"/>
          </w:tcPr>
          <w:p w14:paraId="108CFA5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92CA117">
            <w:pPr>
              <w:autoSpaceDE w:val="0"/>
              <w:autoSpaceDN w:val="0"/>
              <w:adjustRightInd w:val="0"/>
              <w:spacing w:line="400" w:lineRule="exact"/>
              <w:jc w:val="center"/>
              <w:rPr>
                <w:rFonts w:ascii="宋体" w:hAnsi="宋体" w:eastAsia="宋体" w:cs="宋体"/>
                <w:color w:val="auto"/>
                <w:kern w:val="0"/>
                <w:szCs w:val="21"/>
                <w:highlight w:val="none"/>
              </w:rPr>
            </w:pPr>
          </w:p>
        </w:tc>
      </w:tr>
      <w:tr w14:paraId="15CD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AEFBB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0002B4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第十二条 </w:t>
            </w:r>
          </w:p>
        </w:tc>
        <w:tc>
          <w:tcPr>
            <w:tcW w:w="3055" w:type="dxa"/>
            <w:vAlign w:val="center"/>
          </w:tcPr>
          <w:p w14:paraId="39AA08F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5371F94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B86DF49">
            <w:pPr>
              <w:autoSpaceDE w:val="0"/>
              <w:autoSpaceDN w:val="0"/>
              <w:adjustRightInd w:val="0"/>
              <w:spacing w:line="400" w:lineRule="exact"/>
              <w:jc w:val="center"/>
              <w:rPr>
                <w:rFonts w:ascii="宋体" w:hAnsi="宋体" w:eastAsia="宋体" w:cs="宋体"/>
                <w:color w:val="auto"/>
                <w:kern w:val="0"/>
                <w:szCs w:val="21"/>
                <w:highlight w:val="none"/>
              </w:rPr>
            </w:pPr>
          </w:p>
        </w:tc>
      </w:tr>
      <w:tr w14:paraId="7301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3D83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1F1A22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33CFF43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14:paraId="11C67C9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BB3680">
            <w:pPr>
              <w:autoSpaceDE w:val="0"/>
              <w:autoSpaceDN w:val="0"/>
              <w:adjustRightInd w:val="0"/>
              <w:spacing w:line="400" w:lineRule="exact"/>
              <w:jc w:val="center"/>
              <w:rPr>
                <w:rFonts w:ascii="宋体" w:hAnsi="宋体" w:eastAsia="宋体" w:cs="宋体"/>
                <w:color w:val="auto"/>
                <w:kern w:val="0"/>
                <w:szCs w:val="21"/>
                <w:highlight w:val="none"/>
              </w:rPr>
            </w:pPr>
          </w:p>
        </w:tc>
      </w:tr>
      <w:tr w14:paraId="4861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326A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3594DF6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附件1</w:t>
            </w:r>
          </w:p>
        </w:tc>
        <w:tc>
          <w:tcPr>
            <w:tcW w:w="3055" w:type="dxa"/>
            <w:vAlign w:val="center"/>
          </w:tcPr>
          <w:p w14:paraId="71226C0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《广东省建设工程造价咨询服务收费项目和收费标准表》(粤价函(2011)742号)</w:t>
            </w:r>
          </w:p>
        </w:tc>
        <w:tc>
          <w:tcPr>
            <w:tcW w:w="1346" w:type="dxa"/>
            <w:vAlign w:val="center"/>
          </w:tcPr>
          <w:p w14:paraId="134D50C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6EB9DAD">
            <w:pPr>
              <w:autoSpaceDE w:val="0"/>
              <w:autoSpaceDN w:val="0"/>
              <w:adjustRightInd w:val="0"/>
              <w:spacing w:line="400" w:lineRule="exact"/>
              <w:jc w:val="center"/>
              <w:rPr>
                <w:rFonts w:ascii="宋体" w:hAnsi="宋体" w:eastAsia="宋体" w:cs="宋体"/>
                <w:color w:val="auto"/>
                <w:kern w:val="0"/>
                <w:szCs w:val="21"/>
                <w:highlight w:val="none"/>
              </w:rPr>
            </w:pPr>
          </w:p>
        </w:tc>
      </w:tr>
      <w:tr w14:paraId="211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80B7C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5D8D1F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2</w:t>
            </w:r>
          </w:p>
        </w:tc>
        <w:tc>
          <w:tcPr>
            <w:tcW w:w="3055" w:type="dxa"/>
            <w:vAlign w:val="center"/>
          </w:tcPr>
          <w:p w14:paraId="7C11308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en-US" w:eastAsia="zh-CN" w:bidi="ar"/>
              </w:rPr>
              <w:t>考核表</w:t>
            </w:r>
          </w:p>
        </w:tc>
        <w:tc>
          <w:tcPr>
            <w:tcW w:w="1346" w:type="dxa"/>
            <w:vAlign w:val="center"/>
          </w:tcPr>
          <w:p w14:paraId="5B4E342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E0388CF">
            <w:pPr>
              <w:autoSpaceDE w:val="0"/>
              <w:autoSpaceDN w:val="0"/>
              <w:adjustRightInd w:val="0"/>
              <w:spacing w:line="400" w:lineRule="exact"/>
              <w:jc w:val="center"/>
              <w:rPr>
                <w:rFonts w:ascii="宋体" w:hAnsi="宋体" w:eastAsia="宋体" w:cs="宋体"/>
                <w:color w:val="auto"/>
                <w:kern w:val="0"/>
                <w:szCs w:val="21"/>
                <w:highlight w:val="none"/>
              </w:rPr>
            </w:pPr>
          </w:p>
        </w:tc>
      </w:tr>
      <w:tr w14:paraId="7190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7C626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737B24B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3</w:t>
            </w:r>
          </w:p>
        </w:tc>
        <w:tc>
          <w:tcPr>
            <w:tcW w:w="3055" w:type="dxa"/>
            <w:vAlign w:val="center"/>
          </w:tcPr>
          <w:p w14:paraId="607A42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140D140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67F1B29">
            <w:pPr>
              <w:autoSpaceDE w:val="0"/>
              <w:autoSpaceDN w:val="0"/>
              <w:adjustRightInd w:val="0"/>
              <w:spacing w:line="400" w:lineRule="exact"/>
              <w:jc w:val="center"/>
              <w:rPr>
                <w:rFonts w:ascii="宋体" w:hAnsi="宋体" w:eastAsia="宋体" w:cs="宋体"/>
                <w:color w:val="auto"/>
                <w:kern w:val="0"/>
                <w:szCs w:val="21"/>
                <w:highlight w:val="none"/>
              </w:rPr>
            </w:pPr>
          </w:p>
        </w:tc>
      </w:tr>
      <w:tr w14:paraId="21F6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B5698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497DA48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6A1F257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5949C25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FBFACDF">
            <w:pPr>
              <w:autoSpaceDE w:val="0"/>
              <w:autoSpaceDN w:val="0"/>
              <w:adjustRightInd w:val="0"/>
              <w:spacing w:line="400" w:lineRule="exact"/>
              <w:jc w:val="center"/>
              <w:rPr>
                <w:rFonts w:ascii="宋体" w:hAnsi="宋体" w:eastAsia="宋体" w:cs="宋体"/>
                <w:color w:val="auto"/>
                <w:kern w:val="0"/>
                <w:szCs w:val="21"/>
                <w:highlight w:val="none"/>
              </w:rPr>
            </w:pPr>
          </w:p>
        </w:tc>
      </w:tr>
      <w:tr w14:paraId="4C98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EC03A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2720EF2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6A70FB2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5A65EA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FE150E7">
            <w:pPr>
              <w:autoSpaceDE w:val="0"/>
              <w:autoSpaceDN w:val="0"/>
              <w:adjustRightInd w:val="0"/>
              <w:spacing w:line="400" w:lineRule="exact"/>
              <w:jc w:val="center"/>
              <w:rPr>
                <w:rFonts w:ascii="宋体" w:hAnsi="宋体" w:eastAsia="宋体" w:cs="宋体"/>
                <w:color w:val="auto"/>
                <w:kern w:val="0"/>
                <w:szCs w:val="21"/>
                <w:highlight w:val="none"/>
              </w:rPr>
            </w:pPr>
          </w:p>
        </w:tc>
      </w:tr>
      <w:tr w14:paraId="056F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E8FF3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77605E3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05CFD04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02996D7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1992222">
            <w:pPr>
              <w:autoSpaceDE w:val="0"/>
              <w:autoSpaceDN w:val="0"/>
              <w:adjustRightInd w:val="0"/>
              <w:spacing w:line="400" w:lineRule="exact"/>
              <w:jc w:val="center"/>
              <w:rPr>
                <w:rFonts w:ascii="宋体" w:hAnsi="宋体" w:eastAsia="宋体" w:cs="宋体"/>
                <w:color w:val="auto"/>
                <w:kern w:val="0"/>
                <w:szCs w:val="21"/>
                <w:highlight w:val="none"/>
              </w:rPr>
            </w:pPr>
          </w:p>
        </w:tc>
      </w:tr>
    </w:tbl>
    <w:p w14:paraId="70A89FC2">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80E42FF">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8D2B28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111EE5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5B6156D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5F74CA2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D60932B">
      <w:pPr>
        <w:spacing w:line="360" w:lineRule="auto"/>
        <w:ind w:left="357" w:leftChars="-100" w:hanging="567" w:hangingChars="270"/>
        <w:rPr>
          <w:rFonts w:ascii="宋体" w:hAnsi="宋体" w:eastAsia="宋体" w:cs="宋体"/>
          <w:color w:val="auto"/>
          <w:szCs w:val="21"/>
          <w:highlight w:val="none"/>
        </w:rPr>
      </w:pPr>
    </w:p>
    <w:p w14:paraId="5BC2A70C">
      <w:pPr>
        <w:spacing w:line="360" w:lineRule="auto"/>
        <w:ind w:left="357" w:leftChars="-100" w:hanging="567" w:hangingChars="270"/>
        <w:rPr>
          <w:rFonts w:ascii="宋体" w:hAnsi="宋体" w:eastAsia="宋体" w:cs="宋体"/>
          <w:color w:val="auto"/>
          <w:szCs w:val="21"/>
          <w:highlight w:val="none"/>
        </w:rPr>
      </w:pPr>
    </w:p>
    <w:p w14:paraId="7F4E9991">
      <w:pPr>
        <w:spacing w:line="360" w:lineRule="auto"/>
        <w:ind w:left="357" w:leftChars="-100" w:hanging="567" w:hangingChars="270"/>
        <w:rPr>
          <w:rFonts w:ascii="宋体" w:hAnsi="宋体" w:eastAsia="宋体" w:cs="宋体"/>
          <w:color w:val="auto"/>
          <w:szCs w:val="21"/>
          <w:highlight w:val="none"/>
        </w:rPr>
      </w:pPr>
    </w:p>
    <w:p w14:paraId="0C76C89B">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34C12F4">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1FCCE0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38" w:name="_Toc30600"/>
      <w:bookmarkStart w:id="639" w:name="_Toc29505"/>
      <w:bookmarkStart w:id="640" w:name="_Toc102860082"/>
      <w:bookmarkStart w:id="641" w:name="_Toc142508377"/>
      <w:bookmarkStart w:id="642" w:name="_Toc5473"/>
      <w:bookmarkStart w:id="643" w:name="_Toc102860426"/>
      <w:bookmarkStart w:id="644" w:name="_Toc13179"/>
      <w:bookmarkStart w:id="645" w:name="_Toc32599"/>
      <w:bookmarkStart w:id="646" w:name="_Toc104991884"/>
      <w:bookmarkStart w:id="647" w:name="_Toc94107218"/>
      <w:bookmarkStart w:id="648" w:name="_Toc140596937"/>
      <w:bookmarkStart w:id="649" w:name="_Toc27980_WPSOffice_Level2"/>
      <w:bookmarkStart w:id="650"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38"/>
      <w:bookmarkEnd w:id="639"/>
      <w:bookmarkEnd w:id="640"/>
      <w:bookmarkEnd w:id="641"/>
      <w:bookmarkEnd w:id="642"/>
      <w:bookmarkEnd w:id="643"/>
      <w:bookmarkEnd w:id="644"/>
      <w:bookmarkEnd w:id="645"/>
      <w:bookmarkEnd w:id="646"/>
      <w:bookmarkEnd w:id="647"/>
      <w:bookmarkEnd w:id="648"/>
    </w:p>
    <w:p w14:paraId="045A76D4">
      <w:pPr>
        <w:autoSpaceDE w:val="0"/>
        <w:autoSpaceDN w:val="0"/>
        <w:adjustRightInd w:val="0"/>
        <w:spacing w:line="360" w:lineRule="auto"/>
        <w:ind w:firstLine="0"/>
        <w:jc w:val="both"/>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9.1 工程类造价咨询业绩</w:t>
      </w:r>
    </w:p>
    <w:p w14:paraId="580DF163">
      <w:pPr>
        <w:autoSpaceDE w:val="0"/>
        <w:autoSpaceDN w:val="0"/>
        <w:adjustRightInd w:val="0"/>
        <w:spacing w:line="360" w:lineRule="auto"/>
        <w:ind w:firstLine="0"/>
        <w:jc w:val="center"/>
        <w:rPr>
          <w:rFonts w:hint="default"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投标人2022年1月1日至今承接的工程类造价咨询各阶段业绩情况表</w:t>
      </w:r>
    </w:p>
    <w:p w14:paraId="4DB930BD">
      <w:pPr>
        <w:autoSpaceDE w:val="0"/>
        <w:autoSpaceDN w:val="0"/>
        <w:adjustRightInd w:val="0"/>
        <w:spacing w:line="360" w:lineRule="auto"/>
        <w:ind w:firstLine="0"/>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（前述阶段为：概算编制、概算审核、预算(或招标控制价)编制、预算(或招标控制价)审核、结算编制和结算审核）</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1998"/>
        <w:gridCol w:w="1363"/>
        <w:gridCol w:w="1971"/>
        <w:gridCol w:w="1112"/>
        <w:gridCol w:w="1112"/>
        <w:gridCol w:w="925"/>
        <w:gridCol w:w="1277"/>
      </w:tblGrid>
      <w:tr w14:paraId="56B53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6B7602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序号</w:t>
            </w:r>
          </w:p>
        </w:tc>
        <w:tc>
          <w:tcPr>
            <w:tcW w:w="963" w:type="pct"/>
            <w:tcBorders>
              <w:top w:val="single" w:color="auto" w:sz="4" w:space="0"/>
              <w:left w:val="single" w:color="auto" w:sz="4" w:space="0"/>
              <w:bottom w:val="single" w:color="auto" w:sz="4" w:space="0"/>
              <w:right w:val="single" w:color="auto" w:sz="4" w:space="0"/>
            </w:tcBorders>
            <w:vAlign w:val="center"/>
          </w:tcPr>
          <w:p w14:paraId="57C93B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项目名称</w:t>
            </w:r>
          </w:p>
        </w:tc>
        <w:tc>
          <w:tcPr>
            <w:tcW w:w="657" w:type="pct"/>
            <w:tcBorders>
              <w:top w:val="single" w:color="auto" w:sz="4" w:space="0"/>
              <w:left w:val="single" w:color="auto" w:sz="4" w:space="0"/>
              <w:bottom w:val="single" w:color="auto" w:sz="4" w:space="0"/>
              <w:right w:val="single" w:color="auto" w:sz="4" w:space="0"/>
            </w:tcBorders>
            <w:vAlign w:val="center"/>
          </w:tcPr>
          <w:p w14:paraId="68E037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业主方名称</w:t>
            </w:r>
          </w:p>
        </w:tc>
        <w:tc>
          <w:tcPr>
            <w:tcW w:w="950" w:type="pct"/>
            <w:tcBorders>
              <w:top w:val="single" w:color="auto" w:sz="4" w:space="0"/>
              <w:left w:val="single" w:color="auto" w:sz="4" w:space="0"/>
              <w:bottom w:val="single" w:color="auto" w:sz="4" w:space="0"/>
              <w:right w:val="single" w:color="auto" w:sz="4" w:space="0"/>
            </w:tcBorders>
            <w:vAlign w:val="center"/>
          </w:tcPr>
          <w:p w14:paraId="62A60C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合同标的/</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阶段</w:t>
            </w:r>
          </w:p>
        </w:tc>
        <w:tc>
          <w:tcPr>
            <w:tcW w:w="536" w:type="pct"/>
            <w:tcBorders>
              <w:top w:val="single" w:color="auto" w:sz="4" w:space="0"/>
              <w:left w:val="single" w:color="auto" w:sz="4" w:space="0"/>
              <w:bottom w:val="single" w:color="auto" w:sz="4" w:space="0"/>
              <w:right w:val="single" w:color="auto" w:sz="4" w:space="0"/>
            </w:tcBorders>
            <w:vAlign w:val="center"/>
          </w:tcPr>
          <w:p w14:paraId="5029F5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专业类型</w:t>
            </w:r>
          </w:p>
        </w:tc>
        <w:tc>
          <w:tcPr>
            <w:tcW w:w="536" w:type="pct"/>
            <w:tcBorders>
              <w:top w:val="single" w:color="auto" w:sz="4" w:space="0"/>
              <w:left w:val="single" w:color="auto" w:sz="4" w:space="0"/>
              <w:bottom w:val="single" w:color="auto" w:sz="4" w:space="0"/>
              <w:right w:val="single" w:color="auto" w:sz="4" w:space="0"/>
            </w:tcBorders>
            <w:vAlign w:val="center"/>
          </w:tcPr>
          <w:p w14:paraId="1E4C45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446" w:type="pct"/>
            <w:tcBorders>
              <w:top w:val="single" w:color="auto" w:sz="4" w:space="0"/>
              <w:left w:val="single" w:color="auto" w:sz="4" w:space="0"/>
              <w:bottom w:val="single" w:color="auto" w:sz="4" w:space="0"/>
              <w:right w:val="single" w:color="auto" w:sz="4" w:space="0"/>
            </w:tcBorders>
            <w:vAlign w:val="center"/>
          </w:tcPr>
          <w:p w14:paraId="649FDD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lang w:val="zh-CN"/>
              </w:rPr>
              <w:t>完成情况</w:t>
            </w:r>
          </w:p>
        </w:tc>
        <w:tc>
          <w:tcPr>
            <w:tcW w:w="615" w:type="pct"/>
            <w:tcBorders>
              <w:top w:val="single" w:color="auto" w:sz="4" w:space="0"/>
              <w:left w:val="single" w:color="auto" w:sz="4" w:space="0"/>
              <w:bottom w:val="single" w:color="auto" w:sz="4" w:space="0"/>
              <w:right w:val="single" w:color="auto" w:sz="4" w:space="0"/>
            </w:tcBorders>
            <w:vAlign w:val="center"/>
          </w:tcPr>
          <w:p w14:paraId="226D66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业主</w:t>
            </w:r>
            <w:r>
              <w:rPr>
                <w:rFonts w:hint="eastAsia" w:ascii="宋体" w:hAnsi="宋体" w:eastAsia="宋体" w:cs="宋体"/>
                <w:color w:val="auto"/>
                <w:kern w:val="2"/>
                <w:sz w:val="21"/>
                <w:szCs w:val="21"/>
                <w:highlight w:val="none"/>
                <w:lang w:val="zh-CN"/>
              </w:rPr>
              <w:t>电话及联系人</w:t>
            </w:r>
          </w:p>
        </w:tc>
      </w:tr>
      <w:tr w14:paraId="51108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6FC906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63" w:type="pct"/>
            <w:tcBorders>
              <w:top w:val="single" w:color="auto" w:sz="4" w:space="0"/>
              <w:left w:val="single" w:color="auto" w:sz="4" w:space="0"/>
              <w:bottom w:val="single" w:color="auto" w:sz="4" w:space="0"/>
              <w:right w:val="single" w:color="auto" w:sz="4" w:space="0"/>
            </w:tcBorders>
            <w:vAlign w:val="center"/>
          </w:tcPr>
          <w:p w14:paraId="77AA18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725262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50" w:type="pct"/>
            <w:tcBorders>
              <w:top w:val="single" w:color="auto" w:sz="4" w:space="0"/>
              <w:left w:val="single" w:color="auto" w:sz="4" w:space="0"/>
              <w:bottom w:val="single" w:color="auto" w:sz="4" w:space="0"/>
              <w:right w:val="single" w:color="auto" w:sz="4" w:space="0"/>
            </w:tcBorders>
            <w:vAlign w:val="center"/>
          </w:tcPr>
          <w:p w14:paraId="342957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vAlign w:val="center"/>
          </w:tcPr>
          <w:p w14:paraId="58E196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vAlign w:val="center"/>
          </w:tcPr>
          <w:p w14:paraId="5F8783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4C5672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59F69F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1BA2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4C8A5C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63" w:type="pct"/>
            <w:tcBorders>
              <w:top w:val="single" w:color="auto" w:sz="4" w:space="0"/>
              <w:left w:val="single" w:color="auto" w:sz="4" w:space="0"/>
              <w:bottom w:val="single" w:color="auto" w:sz="4" w:space="0"/>
              <w:right w:val="single" w:color="auto" w:sz="4" w:space="0"/>
            </w:tcBorders>
            <w:vAlign w:val="center"/>
          </w:tcPr>
          <w:p w14:paraId="5233C9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5605F5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50" w:type="pct"/>
            <w:tcBorders>
              <w:top w:val="single" w:color="auto" w:sz="4" w:space="0"/>
              <w:left w:val="single" w:color="auto" w:sz="4" w:space="0"/>
              <w:bottom w:val="single" w:color="auto" w:sz="4" w:space="0"/>
              <w:right w:val="single" w:color="auto" w:sz="4" w:space="0"/>
            </w:tcBorders>
            <w:vAlign w:val="center"/>
          </w:tcPr>
          <w:p w14:paraId="173D82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vAlign w:val="center"/>
          </w:tcPr>
          <w:p w14:paraId="304EC0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vAlign w:val="center"/>
          </w:tcPr>
          <w:p w14:paraId="014DB7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6ECD8C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2F36E4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19B5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472BB3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63" w:type="pct"/>
            <w:tcBorders>
              <w:top w:val="single" w:color="auto" w:sz="4" w:space="0"/>
              <w:left w:val="single" w:color="auto" w:sz="4" w:space="0"/>
              <w:bottom w:val="single" w:color="auto" w:sz="4" w:space="0"/>
              <w:right w:val="single" w:color="auto" w:sz="4" w:space="0"/>
            </w:tcBorders>
            <w:vAlign w:val="center"/>
          </w:tcPr>
          <w:p w14:paraId="208393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29F53E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50" w:type="pct"/>
            <w:tcBorders>
              <w:top w:val="single" w:color="auto" w:sz="4" w:space="0"/>
              <w:left w:val="single" w:color="auto" w:sz="4" w:space="0"/>
              <w:bottom w:val="single" w:color="auto" w:sz="4" w:space="0"/>
              <w:right w:val="single" w:color="auto" w:sz="4" w:space="0"/>
            </w:tcBorders>
            <w:vAlign w:val="center"/>
          </w:tcPr>
          <w:p w14:paraId="289558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vAlign w:val="center"/>
          </w:tcPr>
          <w:p w14:paraId="68496C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vAlign w:val="center"/>
          </w:tcPr>
          <w:p w14:paraId="271637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728C9A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3F862A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542F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93" w:type="pct"/>
            <w:tcBorders>
              <w:top w:val="single" w:color="auto" w:sz="4" w:space="0"/>
              <w:left w:val="single" w:color="auto" w:sz="4" w:space="0"/>
              <w:bottom w:val="single" w:color="auto" w:sz="4" w:space="0"/>
              <w:right w:val="single" w:color="auto" w:sz="4" w:space="0"/>
            </w:tcBorders>
            <w:vAlign w:val="center"/>
          </w:tcPr>
          <w:p w14:paraId="4282F6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63" w:type="pct"/>
            <w:tcBorders>
              <w:top w:val="single" w:color="auto" w:sz="4" w:space="0"/>
              <w:left w:val="single" w:color="auto" w:sz="4" w:space="0"/>
              <w:bottom w:val="single" w:color="auto" w:sz="4" w:space="0"/>
              <w:right w:val="single" w:color="auto" w:sz="4" w:space="0"/>
            </w:tcBorders>
            <w:vAlign w:val="center"/>
          </w:tcPr>
          <w:p w14:paraId="6F2210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4B49B9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50" w:type="pct"/>
            <w:tcBorders>
              <w:top w:val="single" w:color="auto" w:sz="4" w:space="0"/>
              <w:left w:val="single" w:color="auto" w:sz="4" w:space="0"/>
              <w:bottom w:val="single" w:color="auto" w:sz="4" w:space="0"/>
              <w:right w:val="single" w:color="auto" w:sz="4" w:space="0"/>
            </w:tcBorders>
            <w:vAlign w:val="center"/>
          </w:tcPr>
          <w:p w14:paraId="7489DF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vAlign w:val="center"/>
          </w:tcPr>
          <w:p w14:paraId="2CE135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vAlign w:val="center"/>
          </w:tcPr>
          <w:p w14:paraId="37E140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66499E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5" w:type="pct"/>
            <w:tcBorders>
              <w:top w:val="single" w:color="auto" w:sz="4" w:space="0"/>
              <w:left w:val="single" w:color="auto" w:sz="4" w:space="0"/>
              <w:bottom w:val="single" w:color="auto" w:sz="4" w:space="0"/>
              <w:right w:val="single" w:color="auto" w:sz="4" w:space="0"/>
            </w:tcBorders>
            <w:vAlign w:val="center"/>
          </w:tcPr>
          <w:p w14:paraId="1394A0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5D2A5F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DC3E10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3EDA86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（1）同一个单项合同的业绩可以同时在资格业绩和评分业绩重复放置；</w:t>
      </w:r>
    </w:p>
    <w:p w14:paraId="058E76E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）业绩须附合同及项目的相关成果文件关键页复印件加盖投标人公章（合同服务提供方必须为投标人），否则不得分；</w:t>
      </w:r>
    </w:p>
    <w:p w14:paraId="68E5A94A">
      <w:pPr>
        <w:autoSpaceDE w:val="0"/>
        <w:autoSpaceDN w:val="0"/>
        <w:adjustRightInd w:val="0"/>
        <w:snapToGrid w:val="0"/>
        <w:spacing w:line="360" w:lineRule="auto"/>
        <w:ind w:left="424" w:leftChars="-40" w:hanging="508" w:hangingChars="241"/>
        <w:jc w:val="left"/>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w:t>
      </w:r>
      <w:r>
        <w:rPr>
          <w:rFonts w:ascii="宋体" w:hAnsi="宋体" w:eastAsia="宋体" w:cs="Times New Roman"/>
          <w:b/>
          <w:bCs/>
          <w:color w:val="auto"/>
          <w:szCs w:val="24"/>
          <w:highlight w:val="none"/>
          <w:lang w:val="zh-CN"/>
        </w:rPr>
        <w:t>3</w:t>
      </w:r>
      <w:r>
        <w:rPr>
          <w:rFonts w:hint="eastAsia" w:ascii="宋体" w:hAnsi="宋体" w:eastAsia="宋体" w:cs="Times New Roman"/>
          <w:b/>
          <w:bCs/>
          <w:color w:val="auto"/>
          <w:szCs w:val="24"/>
          <w:highlight w:val="none"/>
          <w:lang w:val="zh-CN"/>
        </w:rPr>
        <w:t>）若合同等业绩证明材料无法反映评分条件[合同签订日期为202</w:t>
      </w:r>
      <w:r>
        <w:rPr>
          <w:rFonts w:hint="eastAsia" w:ascii="宋体" w:hAnsi="宋体" w:eastAsia="宋体" w:cs="Times New Roman"/>
          <w:b/>
          <w:bCs/>
          <w:color w:val="auto"/>
          <w:szCs w:val="24"/>
          <w:highlight w:val="none"/>
          <w:lang w:val="en-US" w:eastAsia="zh-CN"/>
        </w:rPr>
        <w:t>2</w:t>
      </w:r>
      <w:r>
        <w:rPr>
          <w:rFonts w:hint="eastAsia" w:ascii="宋体" w:hAnsi="宋体" w:eastAsia="宋体" w:cs="Times New Roman"/>
          <w:b/>
          <w:bCs/>
          <w:color w:val="auto"/>
          <w:szCs w:val="24"/>
          <w:highlight w:val="none"/>
          <w:lang w:val="zh-CN"/>
        </w:rPr>
        <w:t>年1月1日或以后，合同标的必须为概算编制</w:t>
      </w:r>
      <w:r>
        <w:rPr>
          <w:rFonts w:hint="eastAsia" w:ascii="宋体" w:hAnsi="宋体" w:eastAsia="宋体" w:cs="Times New Roman"/>
          <w:b/>
          <w:bCs/>
          <w:color w:val="auto"/>
          <w:szCs w:val="24"/>
          <w:highlight w:val="none"/>
          <w:lang w:val="en-US" w:eastAsia="zh-CN"/>
        </w:rPr>
        <w:t>/</w:t>
      </w:r>
      <w:r>
        <w:rPr>
          <w:rFonts w:hint="eastAsia" w:ascii="宋体" w:hAnsi="宋体" w:eastAsia="宋体" w:cs="Times New Roman"/>
          <w:b/>
          <w:bCs/>
          <w:color w:val="auto"/>
          <w:szCs w:val="24"/>
          <w:highlight w:val="none"/>
          <w:lang w:val="zh-CN"/>
        </w:rPr>
        <w:t>概算审核</w:t>
      </w:r>
      <w:r>
        <w:rPr>
          <w:rFonts w:hint="eastAsia" w:ascii="宋体" w:hAnsi="宋体" w:eastAsia="宋体" w:cs="Times New Roman"/>
          <w:b/>
          <w:bCs/>
          <w:color w:val="auto"/>
          <w:szCs w:val="24"/>
          <w:highlight w:val="none"/>
          <w:lang w:val="en-US" w:eastAsia="zh-CN"/>
        </w:rPr>
        <w:t>/</w:t>
      </w:r>
      <w:r>
        <w:rPr>
          <w:rFonts w:hint="eastAsia" w:ascii="宋体" w:hAnsi="宋体" w:eastAsia="宋体" w:cs="Times New Roman"/>
          <w:b/>
          <w:bCs/>
          <w:color w:val="auto"/>
          <w:szCs w:val="24"/>
          <w:highlight w:val="none"/>
          <w:lang w:val="zh-CN"/>
        </w:rPr>
        <w:t>预算(或招标控制价)编制</w:t>
      </w:r>
      <w:r>
        <w:rPr>
          <w:rFonts w:hint="eastAsia" w:ascii="宋体" w:hAnsi="宋体" w:eastAsia="宋体" w:cs="Times New Roman"/>
          <w:b/>
          <w:bCs/>
          <w:color w:val="auto"/>
          <w:szCs w:val="24"/>
          <w:highlight w:val="none"/>
          <w:lang w:val="en-US" w:eastAsia="zh-CN"/>
        </w:rPr>
        <w:t>/</w:t>
      </w:r>
      <w:r>
        <w:rPr>
          <w:rFonts w:hint="eastAsia" w:ascii="宋体" w:hAnsi="宋体" w:eastAsia="宋体" w:cs="Times New Roman"/>
          <w:b/>
          <w:bCs/>
          <w:color w:val="auto"/>
          <w:szCs w:val="24"/>
          <w:highlight w:val="none"/>
          <w:lang w:val="zh-CN"/>
        </w:rPr>
        <w:t>预算(或招标控制价)审核</w:t>
      </w:r>
      <w:r>
        <w:rPr>
          <w:rFonts w:hint="eastAsia" w:ascii="宋体" w:hAnsi="宋体" w:eastAsia="宋体" w:cs="Times New Roman"/>
          <w:b/>
          <w:bCs/>
          <w:color w:val="auto"/>
          <w:szCs w:val="24"/>
          <w:highlight w:val="none"/>
          <w:lang w:val="en-US" w:eastAsia="zh-CN"/>
        </w:rPr>
        <w:t>/</w:t>
      </w:r>
      <w:r>
        <w:rPr>
          <w:rFonts w:hint="eastAsia" w:ascii="宋体" w:hAnsi="宋体" w:eastAsia="宋体" w:cs="Times New Roman"/>
          <w:b/>
          <w:bCs/>
          <w:color w:val="auto"/>
          <w:szCs w:val="24"/>
          <w:highlight w:val="none"/>
          <w:lang w:val="zh-CN"/>
        </w:rPr>
        <w:t>结算编制</w:t>
      </w:r>
      <w:r>
        <w:rPr>
          <w:rFonts w:hint="eastAsia" w:ascii="宋体" w:hAnsi="宋体" w:eastAsia="宋体" w:cs="Times New Roman"/>
          <w:b/>
          <w:bCs/>
          <w:color w:val="auto"/>
          <w:szCs w:val="24"/>
          <w:highlight w:val="none"/>
          <w:lang w:val="en-US" w:eastAsia="zh-CN"/>
        </w:rPr>
        <w:t>/</w:t>
      </w:r>
      <w:r>
        <w:rPr>
          <w:rFonts w:hint="eastAsia" w:ascii="宋体" w:hAnsi="宋体" w:eastAsia="宋体" w:cs="Times New Roman"/>
          <w:b/>
          <w:bCs/>
          <w:color w:val="auto"/>
          <w:szCs w:val="24"/>
          <w:highlight w:val="none"/>
          <w:lang w:val="zh-CN"/>
        </w:rPr>
        <w:t>结算审核]的，还需同时提供业主方出具的书面补充情况说明文件复印件（补充情况说明文件复印件能显示业主方公章），否则不得分；</w:t>
      </w:r>
    </w:p>
    <w:p w14:paraId="248E49F3">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（4）若业绩合同为框架式协议或资格入围的，须同时提供框架协议合同（或资格入围合同）及合同期内对应的项目成果文件，按成果文件数量计算得分；</w:t>
      </w:r>
    </w:p>
    <w:p w14:paraId="32D3F71E">
      <w:pPr>
        <w:autoSpaceDE w:val="0"/>
        <w:autoSpaceDN w:val="0"/>
        <w:adjustRightInd w:val="0"/>
        <w:snapToGrid w:val="0"/>
        <w:spacing w:line="360" w:lineRule="auto"/>
        <w:ind w:left="483" w:leftChars="-41" w:hanging="569" w:hangingChars="270"/>
        <w:jc w:val="left"/>
        <w:rPr>
          <w:rFonts w:hint="eastAsia" w:ascii="宋体" w:hAnsi="宋体" w:eastAsia="宋体" w:cs="Times New Roman"/>
          <w:color w:val="auto"/>
          <w:szCs w:val="24"/>
          <w:highlight w:val="none"/>
          <w:lang w:val="zh-CN"/>
        </w:rPr>
      </w:pPr>
      <w:r>
        <w:rPr>
          <w:rFonts w:hint="eastAsia" w:ascii="宋体" w:hAnsi="宋体" w:eastAsia="宋体" w:cs="宋体"/>
          <w:b/>
          <w:bCs/>
          <w:color w:val="auto"/>
          <w:sz w:val="21"/>
          <w:szCs w:val="21"/>
          <w:highlight w:val="none"/>
          <w:lang w:val="en-US" w:eastAsia="zh-CN"/>
        </w:rPr>
        <w:t>（5）若一个合同中同时包括概算编制、概算审核、预算(或招标控制价)编制、预算(或招标控制价)审核、结算编制和结算审核业绩的仅按一个业绩计算；</w:t>
      </w:r>
    </w:p>
    <w:p w14:paraId="633EA3B4">
      <w:pPr>
        <w:autoSpaceDE w:val="0"/>
        <w:autoSpaceDN w:val="0"/>
        <w:adjustRightInd w:val="0"/>
        <w:snapToGrid w:val="0"/>
        <w:spacing w:line="360" w:lineRule="auto"/>
        <w:ind w:left="483" w:leftChars="-41" w:hanging="569" w:hangingChars="270"/>
        <w:jc w:val="left"/>
        <w:rPr>
          <w:rFonts w:hint="default"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6</w:t>
      </w: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表格中的“</w:t>
      </w:r>
      <w:r>
        <w:rPr>
          <w:rFonts w:hint="eastAsia" w:ascii="宋体" w:hAnsi="宋体" w:eastAsia="宋体" w:cs="宋体"/>
          <w:b/>
          <w:bCs/>
          <w:color w:val="auto"/>
          <w:sz w:val="21"/>
          <w:szCs w:val="21"/>
          <w:highlight w:val="none"/>
          <w:lang w:val="en-US" w:eastAsia="zh-CN"/>
        </w:rPr>
        <w:t>合同标的/</w:t>
      </w:r>
      <w:r>
        <w:rPr>
          <w:rFonts w:hint="eastAsia" w:ascii="宋体" w:hAnsi="宋体" w:eastAsia="宋体" w:cs="Times New Roman"/>
          <w:b/>
          <w:bCs/>
          <w:color w:val="auto"/>
          <w:szCs w:val="24"/>
          <w:highlight w:val="none"/>
          <w:lang w:val="en-US" w:eastAsia="zh-CN"/>
        </w:rPr>
        <w:t>合同阶段”应填写：概算编制、概算审核、预算(或招标控制价)编制、预算(或招标控制价)审核、结算编制、结算审核其中一种或多种。</w:t>
      </w:r>
    </w:p>
    <w:p w14:paraId="127104E7">
      <w:pPr>
        <w:autoSpaceDE w:val="0"/>
        <w:autoSpaceDN w:val="0"/>
        <w:adjustRightInd w:val="0"/>
        <w:snapToGrid w:val="0"/>
        <w:spacing w:line="360" w:lineRule="auto"/>
        <w:ind w:left="483" w:leftChars="-41" w:hanging="569" w:hangingChars="270"/>
        <w:jc w:val="left"/>
        <w:rPr>
          <w:rFonts w:hint="default" w:ascii="宋体" w:hAnsi="宋体" w:eastAsia="宋体" w:cs="Times New Roman"/>
          <w:b/>
          <w:bCs/>
          <w:color w:val="auto"/>
          <w:szCs w:val="24"/>
          <w:highlight w:val="none"/>
          <w:lang w:val="en-US"/>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7</w:t>
      </w: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表格中的“专业类型”应填写：房建（含装饰）类、市政类、安装类其中之一。</w:t>
      </w:r>
    </w:p>
    <w:p w14:paraId="2971FB6D">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8</w:t>
      </w:r>
      <w:r>
        <w:rPr>
          <w:rFonts w:hint="eastAsia" w:ascii="宋体" w:hAnsi="宋体" w:eastAsia="宋体" w:cs="Times New Roman"/>
          <w:color w:val="auto"/>
          <w:szCs w:val="24"/>
          <w:highlight w:val="none"/>
          <w:lang w:val="zh-CN"/>
        </w:rPr>
        <w:t>）业绩不重复计算，由投标人自行放入对应的评分子项；</w:t>
      </w:r>
    </w:p>
    <w:p w14:paraId="68733971">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9</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085AF164">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4FE19E4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DB7A2E8">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5CD09D8">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69979B2C">
      <w:pPr>
        <w:keepNext w:val="0"/>
        <w:keepLines w:val="0"/>
        <w:pageBreakBefore/>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9.2 货物类造价咨询业绩</w:t>
      </w:r>
    </w:p>
    <w:p w14:paraId="54865FD3">
      <w:pPr>
        <w:autoSpaceDE w:val="0"/>
        <w:autoSpaceDN w:val="0"/>
        <w:adjustRightInd w:val="0"/>
        <w:spacing w:line="36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zh-CN" w:eastAsia="zh-CN"/>
        </w:rPr>
        <w:t>投标人202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eastAsia="zh-CN"/>
        </w:rPr>
        <w:t>年1月1日至今</w:t>
      </w:r>
      <w:r>
        <w:rPr>
          <w:rFonts w:hint="eastAsia" w:ascii="宋体" w:hAnsi="宋体" w:eastAsia="宋体" w:cs="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eastAsia="zh-CN"/>
        </w:rPr>
        <w:t>的</w:t>
      </w:r>
      <w:r>
        <w:rPr>
          <w:rFonts w:hint="eastAsia" w:ascii="宋体" w:hAnsi="宋体" w:eastAsia="宋体" w:cs="宋体"/>
          <w:b/>
          <w:bCs/>
          <w:color w:val="auto"/>
          <w:sz w:val="30"/>
          <w:szCs w:val="30"/>
          <w:highlight w:val="none"/>
          <w:lang w:val="en-US" w:eastAsia="zh-CN"/>
        </w:rPr>
        <w:t>货物</w:t>
      </w:r>
      <w:r>
        <w:rPr>
          <w:rFonts w:hint="eastAsia" w:ascii="宋体" w:hAnsi="宋体" w:eastAsia="宋体" w:cs="宋体"/>
          <w:b/>
          <w:bCs/>
          <w:color w:val="auto"/>
          <w:sz w:val="30"/>
          <w:szCs w:val="30"/>
          <w:highlight w:val="none"/>
          <w:lang w:val="zh-CN" w:eastAsia="zh-CN"/>
        </w:rPr>
        <w:t>类造价咨询业绩情况表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1"/>
        <w:gridCol w:w="2492"/>
        <w:gridCol w:w="1924"/>
        <w:gridCol w:w="2179"/>
        <w:gridCol w:w="1095"/>
        <w:gridCol w:w="1915"/>
      </w:tblGrid>
      <w:tr w14:paraId="4A750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6BF19E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序号</w:t>
            </w:r>
          </w:p>
        </w:tc>
        <w:tc>
          <w:tcPr>
            <w:tcW w:w="1202" w:type="pct"/>
            <w:tcBorders>
              <w:top w:val="single" w:color="auto" w:sz="4" w:space="0"/>
              <w:left w:val="single" w:color="auto" w:sz="4" w:space="0"/>
              <w:bottom w:val="single" w:color="auto" w:sz="4" w:space="0"/>
              <w:right w:val="single" w:color="auto" w:sz="4" w:space="0"/>
            </w:tcBorders>
            <w:vAlign w:val="center"/>
          </w:tcPr>
          <w:p w14:paraId="3AA7C5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项目名称</w:t>
            </w:r>
          </w:p>
        </w:tc>
        <w:tc>
          <w:tcPr>
            <w:tcW w:w="928" w:type="pct"/>
            <w:tcBorders>
              <w:top w:val="single" w:color="auto" w:sz="4" w:space="0"/>
              <w:left w:val="single" w:color="auto" w:sz="4" w:space="0"/>
              <w:bottom w:val="single" w:color="auto" w:sz="4" w:space="0"/>
              <w:right w:val="single" w:color="auto" w:sz="4" w:space="0"/>
            </w:tcBorders>
            <w:vAlign w:val="center"/>
          </w:tcPr>
          <w:p w14:paraId="260BEC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业主方名称</w:t>
            </w:r>
          </w:p>
        </w:tc>
        <w:tc>
          <w:tcPr>
            <w:tcW w:w="1051" w:type="pct"/>
            <w:tcBorders>
              <w:top w:val="single" w:color="auto" w:sz="4" w:space="0"/>
              <w:left w:val="single" w:color="auto" w:sz="4" w:space="0"/>
              <w:bottom w:val="single" w:color="auto" w:sz="4" w:space="0"/>
              <w:right w:val="single" w:color="auto" w:sz="4" w:space="0"/>
            </w:tcBorders>
            <w:vAlign w:val="center"/>
          </w:tcPr>
          <w:p w14:paraId="24794D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合同签订时间</w:t>
            </w:r>
          </w:p>
        </w:tc>
        <w:tc>
          <w:tcPr>
            <w:tcW w:w="528" w:type="pct"/>
            <w:tcBorders>
              <w:top w:val="single" w:color="auto" w:sz="4" w:space="0"/>
              <w:left w:val="single" w:color="auto" w:sz="4" w:space="0"/>
              <w:bottom w:val="single" w:color="auto" w:sz="4" w:space="0"/>
              <w:right w:val="single" w:color="auto" w:sz="4" w:space="0"/>
            </w:tcBorders>
            <w:vAlign w:val="center"/>
          </w:tcPr>
          <w:p w14:paraId="7F3D10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lang w:val="zh-CN"/>
              </w:rPr>
              <w:t>完成情况</w:t>
            </w:r>
          </w:p>
        </w:tc>
        <w:tc>
          <w:tcPr>
            <w:tcW w:w="923" w:type="pct"/>
            <w:tcBorders>
              <w:top w:val="single" w:color="auto" w:sz="4" w:space="0"/>
              <w:left w:val="single" w:color="auto" w:sz="4" w:space="0"/>
              <w:bottom w:val="single" w:color="auto" w:sz="4" w:space="0"/>
              <w:right w:val="single" w:color="auto" w:sz="4" w:space="0"/>
            </w:tcBorders>
            <w:vAlign w:val="center"/>
          </w:tcPr>
          <w:p w14:paraId="1D7130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w:t>
            </w:r>
            <w:r>
              <w:rPr>
                <w:rFonts w:hint="eastAsia" w:ascii="宋体" w:hAnsi="宋体" w:eastAsia="宋体" w:cs="宋体"/>
                <w:color w:val="auto"/>
                <w:kern w:val="2"/>
                <w:sz w:val="21"/>
                <w:szCs w:val="21"/>
                <w:highlight w:val="none"/>
                <w:lang w:val="zh-CN"/>
              </w:rPr>
              <w:t>电话及联系人</w:t>
            </w:r>
          </w:p>
        </w:tc>
      </w:tr>
      <w:tr w14:paraId="3DFB8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347AD3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202" w:type="pct"/>
            <w:tcBorders>
              <w:top w:val="single" w:color="auto" w:sz="4" w:space="0"/>
              <w:left w:val="single" w:color="auto" w:sz="4" w:space="0"/>
              <w:bottom w:val="single" w:color="auto" w:sz="4" w:space="0"/>
              <w:right w:val="single" w:color="auto" w:sz="4" w:space="0"/>
            </w:tcBorders>
            <w:vAlign w:val="center"/>
          </w:tcPr>
          <w:p w14:paraId="596BA0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2F02B0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2E9B73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7E832C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14:paraId="716D8F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B2FA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74AA72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202" w:type="pct"/>
            <w:tcBorders>
              <w:top w:val="single" w:color="auto" w:sz="4" w:space="0"/>
              <w:left w:val="single" w:color="auto" w:sz="4" w:space="0"/>
              <w:bottom w:val="single" w:color="auto" w:sz="4" w:space="0"/>
              <w:right w:val="single" w:color="auto" w:sz="4" w:space="0"/>
            </w:tcBorders>
            <w:vAlign w:val="center"/>
          </w:tcPr>
          <w:p w14:paraId="3036C7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58174F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43980D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618C98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14:paraId="33A50C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0842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29C284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20CB57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6F37C2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56669E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439280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14:paraId="78B6B4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083FEE64">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p>
    <w:p w14:paraId="7A7BD724">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6EA768B">
      <w:pPr>
        <w:numPr>
          <w:ilvl w:val="0"/>
          <w:numId w:val="0"/>
        </w:numPr>
        <w:snapToGrid w:val="0"/>
        <w:spacing w:line="360" w:lineRule="auto"/>
        <w:ind w:left="481" w:leftChars="-4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val="zh-CN"/>
        </w:rPr>
        <w:t>）同一个单项合同的业绩可以同时在资格业绩和评分业绩重复放置；</w:t>
      </w:r>
    </w:p>
    <w:p w14:paraId="0A40DBD8">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481" w:leftChars="-41" w:right="0"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kern w:val="2"/>
          <w:sz w:val="21"/>
          <w:szCs w:val="24"/>
          <w:highlight w:val="none"/>
          <w:lang w:val="zh-CN" w:eastAsia="zh-CN" w:bidi="ar-SA"/>
        </w:rPr>
        <w:t>（2）</w:t>
      </w:r>
      <w:r>
        <w:rPr>
          <w:rFonts w:hint="eastAsia" w:ascii="宋体" w:hAnsi="宋体" w:eastAsia="宋体" w:cs="宋体"/>
          <w:color w:val="auto"/>
          <w:szCs w:val="24"/>
          <w:highlight w:val="none"/>
          <w:lang w:val="zh-CN"/>
        </w:rPr>
        <w:t>业绩须附合同及项目的相关成果文件关键页复印件加盖投标人公章（合同服务提供方必须为投标人），否则不得分；</w:t>
      </w:r>
    </w:p>
    <w:p w14:paraId="4775CF33">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b/>
          <w:bCs/>
          <w:color w:val="auto"/>
          <w:sz w:val="21"/>
          <w:szCs w:val="21"/>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反映评分条件[合同签订日期为202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年1月1日或以后，合同标的必须为</w:t>
      </w:r>
      <w:r>
        <w:rPr>
          <w:rFonts w:hint="eastAsia" w:ascii="宋体" w:hAnsi="宋体" w:eastAsia="宋体" w:cs="宋体"/>
          <w:b/>
          <w:color w:val="auto"/>
          <w:sz w:val="21"/>
          <w:szCs w:val="21"/>
          <w:highlight w:val="none"/>
          <w:lang w:val="en-US" w:eastAsia="zh-CN"/>
        </w:rPr>
        <w:t>货物类造价咨询业绩</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出具的书面补充情况说明文件复印件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补充情况说明文件复印件能显示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），否则不得分</w:t>
      </w:r>
      <w:r>
        <w:rPr>
          <w:rFonts w:hint="eastAsia" w:ascii="宋体" w:hAnsi="宋体" w:eastAsia="宋体" w:cs="宋体"/>
          <w:color w:val="auto"/>
          <w:szCs w:val="24"/>
          <w:highlight w:val="none"/>
          <w:lang w:val="zh-CN"/>
        </w:rPr>
        <w:t>；</w:t>
      </w:r>
    </w:p>
    <w:p w14:paraId="47791366">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w:t>
      </w:r>
      <w:r>
        <w:rPr>
          <w:rFonts w:hint="eastAsia" w:ascii="宋体" w:hAnsi="宋体" w:eastAsia="宋体" w:cs="宋体"/>
          <w:b/>
          <w:bCs/>
          <w:color w:val="auto"/>
          <w:sz w:val="21"/>
          <w:szCs w:val="21"/>
          <w:highlight w:val="none"/>
          <w:lang w:val="zh-CN"/>
        </w:rPr>
        <w:t>若业绩合同为框架式协议或资格入围的，须同时提供</w:t>
      </w:r>
      <w:r>
        <w:rPr>
          <w:rFonts w:hint="eastAsia" w:ascii="宋体" w:hAnsi="宋体" w:eastAsia="宋体" w:cs="宋体"/>
          <w:b/>
          <w:bCs/>
          <w:color w:val="auto"/>
          <w:sz w:val="21"/>
          <w:szCs w:val="21"/>
          <w:highlight w:val="none"/>
          <w:lang w:val="en-US" w:eastAsia="zh-CN"/>
        </w:rPr>
        <w:t>框架协议合同（或资格入围合同）</w:t>
      </w:r>
      <w:r>
        <w:rPr>
          <w:rFonts w:hint="eastAsia" w:ascii="宋体" w:hAnsi="宋体" w:eastAsia="宋体" w:cs="宋体"/>
          <w:b/>
          <w:bCs/>
          <w:color w:val="auto"/>
          <w:sz w:val="21"/>
          <w:szCs w:val="21"/>
          <w:highlight w:val="none"/>
          <w:lang w:val="zh-CN"/>
        </w:rPr>
        <w:t>及合同期内对应的项目成果文件，按成果文件数量计算得分；</w:t>
      </w:r>
    </w:p>
    <w:p w14:paraId="279AAFE1">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w:t>
      </w:r>
      <w:r>
        <w:rPr>
          <w:rFonts w:hint="eastAsia" w:ascii="宋体" w:hAnsi="宋体" w:eastAsia="宋体" w:cs="宋体"/>
          <w:color w:val="auto"/>
          <w:kern w:val="2"/>
          <w:sz w:val="21"/>
          <w:szCs w:val="21"/>
          <w:highlight w:val="none"/>
        </w:rPr>
        <w:t>业绩不重复计算，由投标人自行放入对应的评分子项</w:t>
      </w:r>
      <w:r>
        <w:rPr>
          <w:rFonts w:hint="eastAsia" w:ascii="宋体" w:hAnsi="宋体" w:eastAsia="宋体" w:cs="宋体"/>
          <w:color w:val="auto"/>
          <w:kern w:val="2"/>
          <w:sz w:val="21"/>
          <w:szCs w:val="21"/>
          <w:highlight w:val="none"/>
          <w:lang w:eastAsia="zh-CN"/>
        </w:rPr>
        <w:t>；</w:t>
      </w:r>
    </w:p>
    <w:p w14:paraId="199DD665">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70DA738D">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721D86C3">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7A64366C">
      <w:pPr>
        <w:pageBreakBefore w:val="0"/>
        <w:autoSpaceDE w:val="0"/>
        <w:autoSpaceDN w:val="0"/>
        <w:adjustRightInd w:val="0"/>
        <w:spacing w:before="0" w:after="0" w:line="360" w:lineRule="auto"/>
        <w:ind w:firstLine="5040" w:firstLineChars="240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color w:val="auto"/>
          <w:szCs w:val="24"/>
          <w:highlight w:val="none"/>
          <w:lang w:val="zh-CN"/>
        </w:rPr>
        <w:t>日期：   年   月   日</w:t>
      </w:r>
    </w:p>
    <w:bookmarkEnd w:id="649"/>
    <w:bookmarkEnd w:id="650"/>
    <w:p w14:paraId="306A54E2">
      <w:pPr>
        <w:keepNext w:val="0"/>
        <w:keepLines w:val="0"/>
        <w:pageBreakBefore/>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sz w:val="30"/>
          <w:szCs w:val="30"/>
          <w:highlight w:val="none"/>
          <w:lang w:val="en-US" w:eastAsia="zh-CN"/>
        </w:rPr>
      </w:pPr>
      <w:bookmarkStart w:id="651" w:name="_Toc533708132"/>
      <w:bookmarkStart w:id="652" w:name="_Toc142508378"/>
      <w:bookmarkStart w:id="653" w:name="_Toc102860083"/>
      <w:bookmarkStart w:id="654" w:name="_Toc18413"/>
      <w:bookmarkStart w:id="655" w:name="_Toc18175_WPSOffice_Level2"/>
      <w:bookmarkStart w:id="656" w:name="_Toc486167719"/>
      <w:bookmarkStart w:id="657" w:name="_Toc31965"/>
      <w:bookmarkStart w:id="658" w:name="_Toc104991885"/>
      <w:bookmarkStart w:id="659" w:name="_Toc19890"/>
      <w:bookmarkStart w:id="660" w:name="_Toc94107220"/>
      <w:bookmarkStart w:id="661" w:name="_Toc102860427"/>
      <w:bookmarkStart w:id="662" w:name="_Toc140596938"/>
      <w:bookmarkStart w:id="663" w:name="_Toc1977737"/>
      <w:r>
        <w:rPr>
          <w:rFonts w:hint="eastAsia" w:ascii="宋体" w:hAnsi="宋体" w:eastAsia="宋体" w:cs="宋体"/>
          <w:b/>
          <w:bCs/>
          <w:color w:val="auto"/>
          <w:sz w:val="30"/>
          <w:szCs w:val="30"/>
          <w:highlight w:val="none"/>
          <w:lang w:val="en-US" w:eastAsia="zh-CN"/>
        </w:rPr>
        <w:t>9.3 服务类造价咨询业绩</w:t>
      </w:r>
    </w:p>
    <w:p w14:paraId="2252F127">
      <w:pPr>
        <w:autoSpaceDE w:val="0"/>
        <w:autoSpaceDN w:val="0"/>
        <w:adjustRightInd w:val="0"/>
        <w:spacing w:line="36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zh-CN" w:eastAsia="zh-CN"/>
        </w:rPr>
        <w:t>投标人202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eastAsia="zh-CN"/>
        </w:rPr>
        <w:t>年1月1日至今</w:t>
      </w:r>
      <w:r>
        <w:rPr>
          <w:rFonts w:hint="eastAsia" w:ascii="宋体" w:hAnsi="宋体" w:eastAsia="宋体" w:cs="宋体"/>
          <w:b/>
          <w:bCs/>
          <w:color w:val="auto"/>
          <w:sz w:val="30"/>
          <w:szCs w:val="30"/>
          <w:highlight w:val="none"/>
          <w:lang w:val="en-US" w:eastAsia="zh-CN"/>
        </w:rPr>
        <w:t>承接</w:t>
      </w:r>
      <w:r>
        <w:rPr>
          <w:rFonts w:hint="eastAsia" w:ascii="宋体" w:hAnsi="宋体" w:eastAsia="宋体" w:cs="宋体"/>
          <w:b/>
          <w:bCs/>
          <w:color w:val="auto"/>
          <w:sz w:val="30"/>
          <w:szCs w:val="30"/>
          <w:highlight w:val="none"/>
          <w:lang w:val="zh-CN" w:eastAsia="zh-CN"/>
        </w:rPr>
        <w:t>的服务类造价咨询业绩情况表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1"/>
        <w:gridCol w:w="2492"/>
        <w:gridCol w:w="1924"/>
        <w:gridCol w:w="2179"/>
        <w:gridCol w:w="1095"/>
        <w:gridCol w:w="1915"/>
      </w:tblGrid>
      <w:tr w14:paraId="25729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7FCF2C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序号</w:t>
            </w:r>
          </w:p>
        </w:tc>
        <w:tc>
          <w:tcPr>
            <w:tcW w:w="1202" w:type="pct"/>
            <w:tcBorders>
              <w:top w:val="single" w:color="auto" w:sz="4" w:space="0"/>
              <w:left w:val="single" w:color="auto" w:sz="4" w:space="0"/>
              <w:bottom w:val="single" w:color="auto" w:sz="4" w:space="0"/>
              <w:right w:val="single" w:color="auto" w:sz="4" w:space="0"/>
            </w:tcBorders>
            <w:vAlign w:val="center"/>
          </w:tcPr>
          <w:p w14:paraId="1A0D4AE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项目名称</w:t>
            </w:r>
          </w:p>
        </w:tc>
        <w:tc>
          <w:tcPr>
            <w:tcW w:w="928" w:type="pct"/>
            <w:tcBorders>
              <w:top w:val="single" w:color="auto" w:sz="4" w:space="0"/>
              <w:left w:val="single" w:color="auto" w:sz="4" w:space="0"/>
              <w:bottom w:val="single" w:color="auto" w:sz="4" w:space="0"/>
              <w:right w:val="single" w:color="auto" w:sz="4" w:space="0"/>
            </w:tcBorders>
            <w:vAlign w:val="center"/>
          </w:tcPr>
          <w:p w14:paraId="2EE450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业主方名称</w:t>
            </w:r>
          </w:p>
        </w:tc>
        <w:tc>
          <w:tcPr>
            <w:tcW w:w="1051" w:type="pct"/>
            <w:tcBorders>
              <w:top w:val="single" w:color="auto" w:sz="4" w:space="0"/>
              <w:left w:val="single" w:color="auto" w:sz="4" w:space="0"/>
              <w:bottom w:val="single" w:color="auto" w:sz="4" w:space="0"/>
              <w:right w:val="single" w:color="auto" w:sz="4" w:space="0"/>
            </w:tcBorders>
            <w:vAlign w:val="center"/>
          </w:tcPr>
          <w:p w14:paraId="40C89D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合同签订时间</w:t>
            </w:r>
          </w:p>
        </w:tc>
        <w:tc>
          <w:tcPr>
            <w:tcW w:w="528" w:type="pct"/>
            <w:tcBorders>
              <w:top w:val="single" w:color="auto" w:sz="4" w:space="0"/>
              <w:left w:val="single" w:color="auto" w:sz="4" w:space="0"/>
              <w:bottom w:val="single" w:color="auto" w:sz="4" w:space="0"/>
              <w:right w:val="single" w:color="auto" w:sz="4" w:space="0"/>
            </w:tcBorders>
            <w:vAlign w:val="center"/>
          </w:tcPr>
          <w:p w14:paraId="51CF3F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lang w:val="zh-CN"/>
              </w:rPr>
              <w:t>完成情况</w:t>
            </w:r>
          </w:p>
        </w:tc>
        <w:tc>
          <w:tcPr>
            <w:tcW w:w="923" w:type="pct"/>
            <w:tcBorders>
              <w:top w:val="single" w:color="auto" w:sz="4" w:space="0"/>
              <w:left w:val="single" w:color="auto" w:sz="4" w:space="0"/>
              <w:bottom w:val="single" w:color="auto" w:sz="4" w:space="0"/>
              <w:right w:val="single" w:color="auto" w:sz="4" w:space="0"/>
            </w:tcBorders>
            <w:vAlign w:val="center"/>
          </w:tcPr>
          <w:p w14:paraId="3A8C19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业主</w:t>
            </w:r>
            <w:r>
              <w:rPr>
                <w:rFonts w:hint="eastAsia" w:ascii="宋体" w:hAnsi="宋体" w:eastAsia="宋体" w:cs="宋体"/>
                <w:color w:val="auto"/>
                <w:kern w:val="2"/>
                <w:sz w:val="21"/>
                <w:szCs w:val="21"/>
                <w:highlight w:val="none"/>
                <w:lang w:val="zh-CN"/>
              </w:rPr>
              <w:t>电话及联系人</w:t>
            </w:r>
          </w:p>
        </w:tc>
      </w:tr>
      <w:tr w14:paraId="35F85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0D0A4C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202" w:type="pct"/>
            <w:tcBorders>
              <w:top w:val="single" w:color="auto" w:sz="4" w:space="0"/>
              <w:left w:val="single" w:color="auto" w:sz="4" w:space="0"/>
              <w:bottom w:val="single" w:color="auto" w:sz="4" w:space="0"/>
              <w:right w:val="single" w:color="auto" w:sz="4" w:space="0"/>
            </w:tcBorders>
            <w:vAlign w:val="center"/>
          </w:tcPr>
          <w:p w14:paraId="05A97D6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7EA701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7EA6B4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5E1A4F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14:paraId="1F8AEE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EA43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45742B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zh-CN"/>
              </w:rPr>
            </w:pPr>
          </w:p>
        </w:tc>
        <w:tc>
          <w:tcPr>
            <w:tcW w:w="1202" w:type="pct"/>
            <w:tcBorders>
              <w:top w:val="single" w:color="auto" w:sz="4" w:space="0"/>
              <w:left w:val="single" w:color="auto" w:sz="4" w:space="0"/>
              <w:bottom w:val="single" w:color="auto" w:sz="4" w:space="0"/>
              <w:right w:val="single" w:color="auto" w:sz="4" w:space="0"/>
            </w:tcBorders>
            <w:vAlign w:val="center"/>
          </w:tcPr>
          <w:p w14:paraId="5C5F05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5B1191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1F4826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73EE52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14:paraId="03F743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774D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67" w:type="pct"/>
            <w:tcBorders>
              <w:top w:val="single" w:color="auto" w:sz="4" w:space="0"/>
              <w:left w:val="single" w:color="auto" w:sz="4" w:space="0"/>
              <w:bottom w:val="single" w:color="auto" w:sz="4" w:space="0"/>
              <w:right w:val="single" w:color="auto" w:sz="4" w:space="0"/>
            </w:tcBorders>
            <w:vAlign w:val="center"/>
          </w:tcPr>
          <w:p w14:paraId="51E955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02" w:type="pct"/>
            <w:tcBorders>
              <w:top w:val="single" w:color="auto" w:sz="4" w:space="0"/>
              <w:left w:val="single" w:color="auto" w:sz="4" w:space="0"/>
              <w:bottom w:val="single" w:color="auto" w:sz="4" w:space="0"/>
              <w:right w:val="single" w:color="auto" w:sz="4" w:space="0"/>
            </w:tcBorders>
            <w:vAlign w:val="center"/>
          </w:tcPr>
          <w:p w14:paraId="466B78C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0DF626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2C82FA8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28" w:type="pct"/>
            <w:tcBorders>
              <w:top w:val="single" w:color="auto" w:sz="4" w:space="0"/>
              <w:left w:val="single" w:color="auto" w:sz="4" w:space="0"/>
              <w:bottom w:val="single" w:color="auto" w:sz="4" w:space="0"/>
              <w:right w:val="single" w:color="auto" w:sz="4" w:space="0"/>
            </w:tcBorders>
            <w:vAlign w:val="center"/>
          </w:tcPr>
          <w:p w14:paraId="4D35F4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14:paraId="4BEC77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6570FB8">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p>
    <w:p w14:paraId="7F0BC348">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AE47DAF">
      <w:pPr>
        <w:numPr>
          <w:ilvl w:val="0"/>
          <w:numId w:val="0"/>
        </w:numPr>
        <w:snapToGrid w:val="0"/>
        <w:spacing w:line="360" w:lineRule="auto"/>
        <w:ind w:left="481" w:leftChars="-4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val="zh-CN"/>
        </w:rPr>
        <w:t>）同一个单项合同的业绩可以同时在资格业绩和评分业绩重复放置；</w:t>
      </w:r>
    </w:p>
    <w:p w14:paraId="3182870C">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481" w:leftChars="-41" w:right="0"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kern w:val="2"/>
          <w:sz w:val="21"/>
          <w:szCs w:val="24"/>
          <w:highlight w:val="none"/>
          <w:lang w:val="zh-CN" w:eastAsia="zh-CN" w:bidi="ar-SA"/>
        </w:rPr>
        <w:t>（2）</w:t>
      </w:r>
      <w:r>
        <w:rPr>
          <w:rFonts w:hint="eastAsia" w:ascii="宋体" w:hAnsi="宋体" w:eastAsia="宋体" w:cs="宋体"/>
          <w:color w:val="auto"/>
          <w:szCs w:val="24"/>
          <w:highlight w:val="none"/>
          <w:lang w:val="zh-CN"/>
        </w:rPr>
        <w:t>业绩须附合同及项目的相关成果文件关键页复印件加盖投标人公章（合同服务提供方必须为投标人），否则不得分；</w:t>
      </w:r>
    </w:p>
    <w:p w14:paraId="7218FBEF">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b/>
          <w:bCs/>
          <w:color w:val="auto"/>
          <w:sz w:val="21"/>
          <w:szCs w:val="21"/>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反映评分条件[合同签订日期为202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年1月1日或以后，合同标的必须为</w:t>
      </w:r>
      <w:r>
        <w:rPr>
          <w:rFonts w:hint="eastAsia" w:ascii="宋体" w:hAnsi="宋体" w:eastAsia="宋体" w:cs="宋体"/>
          <w:b/>
          <w:color w:val="auto"/>
          <w:sz w:val="21"/>
          <w:szCs w:val="21"/>
          <w:highlight w:val="none"/>
          <w:lang w:val="en-US" w:eastAsia="zh-CN"/>
        </w:rPr>
        <w:t>服务类造价咨询业绩</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出具的书面补充情况说明文件复印件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补充情况说明文件复印件能显示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），否则不得分</w:t>
      </w:r>
      <w:r>
        <w:rPr>
          <w:rFonts w:hint="eastAsia" w:ascii="宋体" w:hAnsi="宋体" w:eastAsia="宋体" w:cs="宋体"/>
          <w:color w:val="auto"/>
          <w:szCs w:val="24"/>
          <w:highlight w:val="none"/>
          <w:lang w:val="zh-CN"/>
        </w:rPr>
        <w:t>；</w:t>
      </w:r>
    </w:p>
    <w:p w14:paraId="3B617A6A">
      <w:pPr>
        <w:numPr>
          <w:ilvl w:val="0"/>
          <w:numId w:val="0"/>
        </w:num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val="zh-CN"/>
        </w:rPr>
        <w:t>）</w:t>
      </w:r>
      <w:r>
        <w:rPr>
          <w:rFonts w:hint="eastAsia" w:ascii="宋体" w:hAnsi="宋体" w:eastAsia="宋体" w:cs="宋体"/>
          <w:b/>
          <w:bCs/>
          <w:color w:val="auto"/>
          <w:sz w:val="21"/>
          <w:szCs w:val="21"/>
          <w:highlight w:val="none"/>
          <w:lang w:val="zh-CN"/>
        </w:rPr>
        <w:t>若业绩合同为框架式协议或资格入围的，须同时提供</w:t>
      </w:r>
      <w:r>
        <w:rPr>
          <w:rFonts w:hint="eastAsia" w:ascii="宋体" w:hAnsi="宋体" w:eastAsia="宋体" w:cs="宋体"/>
          <w:b/>
          <w:bCs/>
          <w:color w:val="auto"/>
          <w:sz w:val="21"/>
          <w:szCs w:val="21"/>
          <w:highlight w:val="none"/>
          <w:lang w:val="en-US" w:eastAsia="zh-CN"/>
        </w:rPr>
        <w:t>框架协议合同（或资格入围合同）</w:t>
      </w:r>
      <w:r>
        <w:rPr>
          <w:rFonts w:hint="eastAsia" w:ascii="宋体" w:hAnsi="宋体" w:eastAsia="宋体" w:cs="宋体"/>
          <w:b/>
          <w:bCs/>
          <w:color w:val="auto"/>
          <w:sz w:val="21"/>
          <w:szCs w:val="21"/>
          <w:highlight w:val="none"/>
          <w:lang w:val="zh-CN"/>
        </w:rPr>
        <w:t>及合同期内对应的项目成果文件，按成果文件数量计算得分；</w:t>
      </w:r>
    </w:p>
    <w:p w14:paraId="4AE1F5F1">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lang w:val="zh-CN"/>
        </w:rPr>
        <w:t>）</w:t>
      </w:r>
      <w:r>
        <w:rPr>
          <w:rFonts w:hint="eastAsia" w:ascii="宋体" w:hAnsi="宋体" w:eastAsia="宋体" w:cs="宋体"/>
          <w:color w:val="auto"/>
          <w:kern w:val="2"/>
          <w:sz w:val="21"/>
          <w:szCs w:val="21"/>
          <w:highlight w:val="none"/>
        </w:rPr>
        <w:t>业绩不重复计算，由投标人自行放入对应的评分子项</w:t>
      </w:r>
      <w:r>
        <w:rPr>
          <w:rFonts w:hint="eastAsia" w:ascii="宋体" w:hAnsi="宋体" w:eastAsia="宋体" w:cs="宋体"/>
          <w:color w:val="auto"/>
          <w:kern w:val="2"/>
          <w:sz w:val="21"/>
          <w:szCs w:val="21"/>
          <w:highlight w:val="none"/>
          <w:lang w:eastAsia="zh-CN"/>
        </w:rPr>
        <w:t>；</w:t>
      </w:r>
    </w:p>
    <w:p w14:paraId="696A3B85">
      <w:pPr>
        <w:autoSpaceDE w:val="0"/>
        <w:autoSpaceDN w:val="0"/>
        <w:adjustRightInd w:val="0"/>
        <w:snapToGrid w:val="0"/>
        <w:spacing w:line="360" w:lineRule="auto"/>
        <w:ind w:left="483" w:leftChars="-41" w:hanging="569" w:hangingChars="270"/>
        <w:jc w:val="left"/>
        <w:rPr>
          <w:rFonts w:hint="eastAsia" w:ascii="宋体" w:hAnsi="宋体" w:eastAsia="宋体" w:cs="宋体"/>
          <w:color w:val="auto"/>
          <w:szCs w:val="24"/>
          <w:highlight w:val="none"/>
          <w:lang w:val="zh-CN"/>
        </w:rPr>
      </w:pP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单独编制/审核的工程服务费用（</w:t>
      </w:r>
      <w:r>
        <w:rPr>
          <w:rFonts w:hint="default" w:ascii="宋体" w:hAnsi="宋体" w:eastAsia="宋体" w:cs="宋体"/>
          <w:b/>
          <w:bCs/>
          <w:color w:val="auto"/>
          <w:szCs w:val="21"/>
          <w:highlight w:val="none"/>
          <w:lang w:val="en-US"/>
        </w:rPr>
        <w:t>指</w:t>
      </w:r>
      <w:r>
        <w:rPr>
          <w:rFonts w:hint="eastAsia" w:ascii="宋体" w:hAnsi="宋体" w:eastAsia="宋体" w:cs="宋体"/>
          <w:b/>
          <w:bCs/>
          <w:color w:val="auto"/>
          <w:szCs w:val="21"/>
          <w:highlight w:val="none"/>
        </w:rPr>
        <w:t>工程监理费、勘察设计费、环境影响评价费等</w:t>
      </w:r>
      <w:r>
        <w:rPr>
          <w:rFonts w:hint="eastAsia" w:ascii="宋体" w:hAnsi="宋体" w:eastAsia="宋体" w:cs="宋体"/>
          <w:b/>
          <w:bCs/>
          <w:color w:val="auto"/>
          <w:szCs w:val="21"/>
          <w:highlight w:val="none"/>
          <w:lang w:val="en-US" w:eastAsia="zh-CN"/>
        </w:rPr>
        <w:t>建筑安装工程费用以外的服务费用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概算/预算/结算</w:t>
      </w:r>
      <w:r>
        <w:rPr>
          <w:rFonts w:hint="eastAsia" w:ascii="宋体" w:hAnsi="宋体" w:eastAsia="宋体" w:cs="宋体"/>
          <w:b/>
          <w:bCs/>
          <w:color w:val="auto"/>
          <w:sz w:val="21"/>
          <w:szCs w:val="21"/>
          <w:highlight w:val="none"/>
          <w:lang w:val="en-US" w:eastAsia="zh-CN"/>
        </w:rPr>
        <w:t>业绩，按服务类造价咨询业绩计算；</w:t>
      </w:r>
    </w:p>
    <w:p w14:paraId="617749D0">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40FE07F1">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0C08CE0C">
      <w:pPr>
        <w:autoSpaceDE w:val="0"/>
        <w:autoSpaceDN w:val="0"/>
        <w:adjustRightInd w:val="0"/>
        <w:spacing w:line="360" w:lineRule="auto"/>
        <w:ind w:firstLine="5040" w:firstLineChars="2400"/>
        <w:jc w:val="left"/>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535F217C">
      <w:pPr>
        <w:pageBreakBefore w:val="0"/>
        <w:autoSpaceDE w:val="0"/>
        <w:autoSpaceDN w:val="0"/>
        <w:adjustRightInd w:val="0"/>
        <w:spacing w:before="0" w:after="0" w:line="360" w:lineRule="auto"/>
        <w:ind w:firstLine="5040" w:firstLineChars="240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color w:val="auto"/>
          <w:szCs w:val="24"/>
          <w:highlight w:val="none"/>
          <w:lang w:val="zh-CN"/>
        </w:rPr>
        <w:t>日期：   年   月   日</w:t>
      </w:r>
    </w:p>
    <w:p w14:paraId="48707C0B">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64" w:name="_Toc9564"/>
      <w:bookmarkStart w:id="665" w:name="_Toc2242"/>
      <w:r>
        <w:rPr>
          <w:rFonts w:hint="eastAsia" w:ascii="宋体" w:hAnsi="宋体" w:eastAsia="宋体" w:cs="宋体"/>
          <w:b/>
          <w:bCs/>
          <w:color w:val="auto"/>
          <w:kern w:val="0"/>
          <w:sz w:val="32"/>
          <w:szCs w:val="32"/>
          <w:highlight w:val="none"/>
          <w:lang w:val="zh-CN"/>
        </w:rPr>
        <w:t>十、投标保证金汇入情况说明</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171DD664">
      <w:pPr>
        <w:autoSpaceDE w:val="0"/>
        <w:autoSpaceDN w:val="0"/>
        <w:adjustRightInd w:val="0"/>
        <w:spacing w:line="360" w:lineRule="auto"/>
        <w:jc w:val="left"/>
        <w:rPr>
          <w:rFonts w:ascii="宋体" w:hAnsi="宋体" w:eastAsia="宋体" w:cs="宋体"/>
          <w:color w:val="auto"/>
          <w:szCs w:val="24"/>
          <w:highlight w:val="none"/>
        </w:rPr>
      </w:pPr>
    </w:p>
    <w:p w14:paraId="549BE87F">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66" w:name="_Toc31832_WPSOffice_Level3"/>
      <w:r>
        <w:rPr>
          <w:rFonts w:hint="eastAsia" w:ascii="宋体" w:hAnsi="宋体" w:eastAsia="宋体" w:cs="宋体"/>
          <w:b/>
          <w:bCs/>
          <w:color w:val="auto"/>
          <w:kern w:val="0"/>
          <w:sz w:val="24"/>
          <w:szCs w:val="24"/>
          <w:highlight w:val="none"/>
        </w:rPr>
        <w:t>投标保证金汇入情况说明</w:t>
      </w:r>
      <w:bookmarkEnd w:id="666"/>
    </w:p>
    <w:p w14:paraId="59F3CD45">
      <w:pPr>
        <w:autoSpaceDE w:val="0"/>
        <w:autoSpaceDN w:val="0"/>
        <w:adjustRightInd w:val="0"/>
        <w:spacing w:line="360" w:lineRule="auto"/>
        <w:jc w:val="center"/>
        <w:rPr>
          <w:rFonts w:ascii="宋体" w:hAnsi="宋体" w:eastAsia="宋体" w:cs="宋体"/>
          <w:b/>
          <w:bCs/>
          <w:color w:val="auto"/>
          <w:kern w:val="0"/>
          <w:szCs w:val="24"/>
          <w:highlight w:val="none"/>
        </w:rPr>
      </w:pPr>
    </w:p>
    <w:p w14:paraId="005104E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14:paraId="1CA8BC9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东莞市水务集团净水有限公司2025年造价咨询服务采购项目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WTZB2025DG0003</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E58F3A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3FC42B0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887237A">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0C8666C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7A24D2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064AB89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6456A5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714D75B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9AB39F5">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51988517">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9ABFD8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0820D95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F0E46E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7D244D7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75839D8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E036965">
      <w:pPr>
        <w:spacing w:line="360" w:lineRule="auto"/>
        <w:ind w:left="340" w:leftChars="162" w:firstLine="425"/>
        <w:rPr>
          <w:rFonts w:ascii="宋体" w:hAnsi="宋体" w:eastAsia="宋体" w:cs="宋体"/>
          <w:b/>
          <w:bCs/>
          <w:color w:val="auto"/>
          <w:szCs w:val="21"/>
          <w:highlight w:val="none"/>
        </w:rPr>
      </w:pPr>
      <w:bookmarkStart w:id="667" w:name="_Toc26208_WPSOffice_Level3"/>
      <w:r>
        <w:rPr>
          <w:rFonts w:hint="eastAsia" w:ascii="宋体" w:hAnsi="宋体" w:eastAsia="宋体" w:cs="宋体"/>
          <w:b/>
          <w:bCs/>
          <w:color w:val="auto"/>
          <w:szCs w:val="21"/>
          <w:highlight w:val="none"/>
        </w:rPr>
        <w:t>附：1、我方投标保证金汇款凭证（复印件）</w:t>
      </w:r>
      <w:bookmarkEnd w:id="667"/>
    </w:p>
    <w:p w14:paraId="20056411">
      <w:pPr>
        <w:spacing w:line="360" w:lineRule="auto"/>
        <w:ind w:left="340" w:leftChars="162" w:firstLine="839" w:firstLineChars="398"/>
        <w:rPr>
          <w:rFonts w:ascii="宋体" w:hAnsi="宋体" w:eastAsia="宋体" w:cs="宋体"/>
          <w:b/>
          <w:bCs/>
          <w:color w:val="auto"/>
          <w:szCs w:val="21"/>
          <w:highlight w:val="none"/>
        </w:rPr>
      </w:pPr>
      <w:bookmarkStart w:id="668" w:name="_Toc12992_WPSOffice_Level3"/>
      <w:r>
        <w:rPr>
          <w:rFonts w:hint="eastAsia" w:ascii="宋体" w:hAnsi="宋体" w:eastAsia="宋体" w:cs="宋体"/>
          <w:b/>
          <w:bCs/>
          <w:color w:val="auto"/>
          <w:szCs w:val="21"/>
          <w:highlight w:val="none"/>
        </w:rPr>
        <w:t>2、我方基本账户开户许可证（复印件）</w:t>
      </w:r>
      <w:bookmarkEnd w:id="668"/>
    </w:p>
    <w:p w14:paraId="6F516923">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481CF2B">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14FB4FF">
      <w:pPr>
        <w:spacing w:line="360" w:lineRule="auto"/>
        <w:rPr>
          <w:rFonts w:ascii="宋体" w:hAnsi="宋体" w:eastAsia="宋体" w:cs="宋体"/>
          <w:b/>
          <w:color w:val="auto"/>
          <w:kern w:val="0"/>
          <w:szCs w:val="21"/>
          <w:highlight w:val="none"/>
        </w:rPr>
      </w:pPr>
      <w:bookmarkStart w:id="669" w:name="_Toc533708134"/>
      <w:bookmarkStart w:id="670" w:name="_Toc486167721"/>
    </w:p>
    <w:p w14:paraId="0AFE2CF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71" w:name="_Toc24616"/>
      <w:bookmarkStart w:id="672" w:name="_Toc102860428"/>
      <w:bookmarkStart w:id="673" w:name="_Toc94107221"/>
      <w:bookmarkStart w:id="674" w:name="_Toc142508379"/>
      <w:bookmarkStart w:id="675" w:name="_Toc102860084"/>
      <w:bookmarkStart w:id="676" w:name="_Toc140596939"/>
      <w:bookmarkStart w:id="677" w:name="_Toc104991886"/>
      <w:bookmarkStart w:id="678" w:name="_Toc1977738"/>
    </w:p>
    <w:p w14:paraId="0907499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3B7EAFFF">
      <w:pPr>
        <w:keepNext w:val="0"/>
        <w:keepLines w:val="0"/>
        <w:pageBreakBefore/>
        <w:widowControl w:val="0"/>
        <w:suppressLineNumbers w:val="0"/>
        <w:kinsoku/>
        <w:wordWrap/>
        <w:overflowPunct/>
        <w:topLinePunct w:val="0"/>
        <w:autoSpaceDE w:val="0"/>
        <w:autoSpaceDN w:val="0"/>
        <w:bidi w:val="0"/>
        <w:adjustRightInd w:val="0"/>
        <w:snapToGrid/>
        <w:spacing w:before="0" w:beforeAutospacing="0" w:after="0" w:afterAutospacing="0"/>
        <w:ind w:left="0" w:right="0"/>
        <w:jc w:val="left"/>
        <w:textAlignment w:val="auto"/>
        <w:outlineLvl w:val="2"/>
        <w:rPr>
          <w:rFonts w:hint="eastAsia" w:ascii="宋体" w:hAnsi="宋体" w:eastAsia="宋体" w:cs="宋体"/>
          <w:b/>
          <w:bCs/>
          <w:color w:val="auto"/>
          <w:kern w:val="2"/>
          <w:sz w:val="32"/>
          <w:szCs w:val="32"/>
          <w:highlight w:val="none"/>
        </w:rPr>
      </w:pPr>
      <w:bookmarkStart w:id="679" w:name="_Toc11547"/>
      <w:bookmarkStart w:id="680" w:name="_Toc25798"/>
      <w:bookmarkStart w:id="681" w:name="_Toc2007"/>
      <w:bookmarkStart w:id="682" w:name="_Toc29652"/>
      <w:r>
        <w:rPr>
          <w:rFonts w:hint="eastAsia" w:ascii="宋体" w:hAnsi="宋体" w:eastAsia="宋体" w:cs="宋体"/>
          <w:b/>
          <w:bCs/>
          <w:color w:val="auto"/>
          <w:kern w:val="2"/>
          <w:sz w:val="32"/>
          <w:szCs w:val="32"/>
          <w:highlight w:val="none"/>
          <w:lang w:val="en-US" w:eastAsia="zh-CN" w:bidi="ar"/>
        </w:rPr>
        <w:t>十一、承诺书格式</w:t>
      </w:r>
      <w:bookmarkEnd w:id="679"/>
      <w:bookmarkEnd w:id="680"/>
    </w:p>
    <w:p w14:paraId="122E33E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承诺书</w:t>
      </w:r>
    </w:p>
    <w:p w14:paraId="1E953938">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致：东莞市水务集团净水有限公司</w:t>
      </w:r>
    </w:p>
    <w:p w14:paraId="6E778CDB">
      <w:pPr>
        <w:keepNext w:val="0"/>
        <w:keepLines w:val="0"/>
        <w:widowControl w:val="0"/>
        <w:suppressLineNumbers w:val="0"/>
        <w:autoSpaceDE w:val="0"/>
        <w:autoSpaceDN w:val="0"/>
        <w:adjustRightInd w:val="0"/>
        <w:spacing w:before="0" w:beforeAutospacing="0" w:after="0" w:afterAutospacing="0" w:line="360" w:lineRule="auto"/>
        <w:ind w:left="-31" w:leftChars="-15" w:right="18" w:firstLine="457" w:firstLineChars="21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在贵单位组织招标的</w:t>
      </w:r>
      <w:r>
        <w:rPr>
          <w:rFonts w:hint="eastAsia" w:ascii="宋体" w:hAnsi="宋体" w:eastAsia="宋体" w:cs="宋体"/>
          <w:color w:val="auto"/>
          <w:kern w:val="0"/>
          <w:szCs w:val="21"/>
          <w:highlight w:val="none"/>
          <w:u w:val="single"/>
          <w:lang w:eastAsia="zh-CN"/>
        </w:rPr>
        <w:t>东莞市水务集团净水有限公司2025年造价咨询服务采购项目</w:t>
      </w:r>
      <w:r>
        <w:rPr>
          <w:rFonts w:hint="eastAsia" w:ascii="宋体" w:hAnsi="宋体" w:eastAsia="宋体" w:cs="宋体"/>
          <w:color w:val="auto"/>
          <w:kern w:val="2"/>
          <w:sz w:val="21"/>
          <w:szCs w:val="21"/>
          <w:highlight w:val="none"/>
          <w:lang w:val="en-US" w:eastAsia="zh-CN" w:bidi="ar"/>
        </w:rPr>
        <w:t>（招标编号：WTZB2025DG0003）招标中，我司如获中标，承诺如下：</w:t>
      </w:r>
    </w:p>
    <w:p w14:paraId="2E46CF81">
      <w:pPr>
        <w:keepNext w:val="0"/>
        <w:keepLines w:val="0"/>
        <w:widowControl w:val="0"/>
        <w:suppressLineNumbers w:val="0"/>
        <w:autoSpaceDE w:val="0"/>
        <w:autoSpaceDN w:val="0"/>
        <w:adjustRightInd w:val="0"/>
        <w:spacing w:before="0" w:beforeAutospacing="0" w:after="0" w:afterAutospacing="0" w:line="360" w:lineRule="auto"/>
        <w:ind w:left="-31" w:leftChars="-15" w:right="18" w:firstLine="457" w:firstLineChars="21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若我公司</w:t>
      </w:r>
      <w:r>
        <w:rPr>
          <w:rFonts w:hint="eastAsia" w:ascii="宋体" w:hAnsi="宋体" w:eastAsia="宋体" w:cs="宋体"/>
          <w:color w:val="auto"/>
          <w:kern w:val="2"/>
          <w:sz w:val="21"/>
          <w:szCs w:val="21"/>
          <w:highlight w:val="none"/>
          <w:lang w:val="en-US" w:eastAsia="zh-CN" w:bidi="ar"/>
        </w:rPr>
        <w:t>在提交投标文件截止时间尚未在东莞市住房和城乡建设局企业信息查询系统有本项目对应的企业类型（工程造价咨询机构）信用信息档案的，我公司承</w:t>
      </w:r>
      <w:r>
        <w:rPr>
          <w:rFonts w:hint="eastAsia" w:ascii="宋体" w:hAnsi="宋体" w:eastAsia="宋体" w:cs="宋体"/>
          <w:b w:val="0"/>
          <w:bCs w:val="0"/>
          <w:color w:val="auto"/>
          <w:kern w:val="2"/>
          <w:sz w:val="21"/>
          <w:szCs w:val="21"/>
          <w:highlight w:val="none"/>
          <w:lang w:val="en-US" w:eastAsia="zh-CN" w:bidi="ar"/>
        </w:rPr>
        <w:t>诺中标后一个月内到东莞市住房和城乡建设局</w:t>
      </w:r>
      <w:r>
        <w:rPr>
          <w:rFonts w:hint="eastAsia" w:ascii="宋体" w:hAnsi="宋体" w:eastAsia="宋体" w:cs="宋体"/>
          <w:b w:val="0"/>
          <w:bCs w:val="0"/>
          <w:snapToGrid w:val="0"/>
          <w:color w:val="auto"/>
          <w:spacing w:val="0"/>
          <w:kern w:val="0"/>
          <w:sz w:val="21"/>
          <w:szCs w:val="21"/>
          <w:highlight w:val="none"/>
          <w:lang w:val="en-US" w:eastAsia="en-US" w:bidi="ar-SA"/>
        </w:rPr>
        <w:t>办理好本项目对应的企业类型</w:t>
      </w:r>
      <w:r>
        <w:rPr>
          <w:rFonts w:hint="eastAsia" w:ascii="宋体" w:hAnsi="宋体" w:eastAsia="宋体" w:cs="宋体"/>
          <w:b w:val="0"/>
          <w:bCs w:val="0"/>
          <w:snapToGrid w:val="0"/>
          <w:color w:val="auto"/>
          <w:spacing w:val="0"/>
          <w:kern w:val="0"/>
          <w:sz w:val="21"/>
          <w:szCs w:val="21"/>
          <w:highlight w:val="none"/>
          <w:lang w:val="en-US" w:eastAsia="zh-CN" w:bidi="ar-SA"/>
        </w:rPr>
        <w:t>（工程造价咨询机构）</w:t>
      </w:r>
      <w:r>
        <w:rPr>
          <w:rFonts w:hint="eastAsia" w:ascii="宋体" w:hAnsi="宋体" w:eastAsia="宋体" w:cs="宋体"/>
          <w:b w:val="0"/>
          <w:bCs w:val="0"/>
          <w:snapToGrid w:val="0"/>
          <w:color w:val="auto"/>
          <w:spacing w:val="0"/>
          <w:kern w:val="0"/>
          <w:sz w:val="21"/>
          <w:szCs w:val="21"/>
          <w:highlight w:val="none"/>
          <w:lang w:val="en-US" w:eastAsia="en-US" w:bidi="ar-SA"/>
        </w:rPr>
        <w:t>信用信息档案</w:t>
      </w:r>
      <w:r>
        <w:rPr>
          <w:rFonts w:hint="eastAsia" w:ascii="宋体" w:hAnsi="宋体" w:eastAsia="宋体" w:cs="宋体"/>
          <w:b w:val="0"/>
          <w:bCs w:val="0"/>
          <w:snapToGrid w:val="0"/>
          <w:color w:val="auto"/>
          <w:spacing w:val="0"/>
          <w:kern w:val="0"/>
          <w:sz w:val="21"/>
          <w:szCs w:val="21"/>
          <w:highlight w:val="none"/>
          <w:lang w:val="en-US" w:eastAsia="zh-CN" w:bidi="ar-SA"/>
        </w:rPr>
        <w:t>，</w:t>
      </w:r>
      <w:r>
        <w:rPr>
          <w:rFonts w:hint="eastAsia" w:ascii="宋体" w:hAnsi="宋体" w:eastAsia="宋体" w:cs="宋体"/>
          <w:b w:val="0"/>
          <w:bCs w:val="0"/>
          <w:snapToGrid w:val="0"/>
          <w:color w:val="auto"/>
          <w:spacing w:val="0"/>
          <w:kern w:val="0"/>
          <w:sz w:val="21"/>
          <w:szCs w:val="21"/>
          <w:highlight w:val="none"/>
          <w:lang w:val="en-US" w:eastAsia="en-US" w:bidi="ar-SA"/>
        </w:rPr>
        <w:t>否则视为放弃中标</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snapToGrid w:val="0"/>
          <w:color w:val="auto"/>
          <w:kern w:val="0"/>
          <w:szCs w:val="21"/>
          <w:highlight w:val="none"/>
          <w:lang w:val="en-US" w:eastAsia="en-US"/>
        </w:rPr>
        <w:t>如</w:t>
      </w:r>
      <w:r>
        <w:rPr>
          <w:rFonts w:hint="eastAsia" w:ascii="宋体" w:hAnsi="宋体" w:eastAsia="宋体" w:cs="宋体"/>
          <w:b/>
          <w:bCs/>
          <w:snapToGrid w:val="0"/>
          <w:color w:val="auto"/>
          <w:spacing w:val="0"/>
          <w:kern w:val="0"/>
          <w:sz w:val="21"/>
          <w:szCs w:val="21"/>
          <w:highlight w:val="none"/>
          <w:lang w:val="en-US" w:eastAsia="en-US" w:bidi="ar-SA"/>
        </w:rPr>
        <w:t>投标人</w:t>
      </w:r>
      <w:r>
        <w:rPr>
          <w:rFonts w:hint="eastAsia" w:ascii="宋体" w:hAnsi="宋体" w:eastAsia="宋体" w:cs="宋体"/>
          <w:b/>
          <w:bCs/>
          <w:snapToGrid w:val="0"/>
          <w:color w:val="auto"/>
          <w:spacing w:val="0"/>
          <w:kern w:val="0"/>
          <w:sz w:val="21"/>
          <w:szCs w:val="21"/>
          <w:highlight w:val="none"/>
          <w:lang w:val="en-US" w:eastAsia="zh-CN" w:bidi="ar-SA"/>
        </w:rPr>
        <w:t>在提交投标文件截止时间前</w:t>
      </w:r>
      <w:r>
        <w:rPr>
          <w:rFonts w:hint="eastAsia" w:ascii="宋体" w:hAnsi="宋体" w:eastAsia="宋体" w:cs="宋体"/>
          <w:b/>
          <w:bCs/>
          <w:snapToGrid w:val="0"/>
          <w:color w:val="auto"/>
          <w:spacing w:val="0"/>
          <w:kern w:val="0"/>
          <w:sz w:val="21"/>
          <w:szCs w:val="21"/>
          <w:highlight w:val="none"/>
          <w:lang w:val="en-US" w:eastAsia="en-US" w:bidi="ar-SA"/>
        </w:rPr>
        <w:t>在</w:t>
      </w:r>
      <w:r>
        <w:rPr>
          <w:rFonts w:hint="eastAsia" w:ascii="宋体" w:hAnsi="宋体" w:eastAsia="宋体" w:cs="宋体"/>
          <w:b/>
          <w:bCs/>
          <w:snapToGrid w:val="0"/>
          <w:color w:val="auto"/>
          <w:spacing w:val="0"/>
          <w:kern w:val="0"/>
          <w:sz w:val="21"/>
          <w:szCs w:val="21"/>
          <w:highlight w:val="none"/>
          <w:lang w:val="en-US" w:eastAsia="zh-CN" w:bidi="ar-SA"/>
        </w:rPr>
        <w:t>东莞市住房和城乡建设局企业信息查询系统</w:t>
      </w:r>
      <w:r>
        <w:rPr>
          <w:rFonts w:hint="eastAsia" w:ascii="宋体" w:hAnsi="宋体" w:eastAsia="宋体" w:cs="宋体"/>
          <w:b/>
          <w:bCs/>
          <w:snapToGrid w:val="0"/>
          <w:color w:val="auto"/>
          <w:spacing w:val="0"/>
          <w:kern w:val="0"/>
          <w:sz w:val="21"/>
          <w:szCs w:val="21"/>
          <w:highlight w:val="none"/>
          <w:lang w:val="en-US" w:eastAsia="en-US" w:bidi="ar-SA"/>
        </w:rPr>
        <w:t>已有本项目对应的企业类型</w:t>
      </w:r>
      <w:r>
        <w:rPr>
          <w:rFonts w:hint="eastAsia" w:ascii="宋体" w:hAnsi="宋体" w:eastAsia="宋体" w:cs="宋体"/>
          <w:b/>
          <w:bCs/>
          <w:snapToGrid w:val="0"/>
          <w:color w:val="auto"/>
          <w:spacing w:val="0"/>
          <w:kern w:val="0"/>
          <w:sz w:val="21"/>
          <w:szCs w:val="21"/>
          <w:highlight w:val="none"/>
          <w:lang w:val="en-US" w:eastAsia="zh-CN" w:bidi="ar-SA"/>
        </w:rPr>
        <w:t>（工程造价咨询机构）</w:t>
      </w:r>
      <w:r>
        <w:rPr>
          <w:rFonts w:hint="eastAsia" w:ascii="宋体" w:hAnsi="宋体" w:eastAsia="宋体" w:cs="宋体"/>
          <w:b/>
          <w:bCs/>
          <w:snapToGrid w:val="0"/>
          <w:color w:val="auto"/>
          <w:spacing w:val="0"/>
          <w:kern w:val="0"/>
          <w:sz w:val="21"/>
          <w:szCs w:val="21"/>
          <w:highlight w:val="none"/>
          <w:lang w:val="en-US" w:eastAsia="en-US" w:bidi="ar-SA"/>
        </w:rPr>
        <w:t>信用信息登记，</w:t>
      </w:r>
      <w:r>
        <w:rPr>
          <w:rFonts w:hint="eastAsia" w:ascii="宋体" w:hAnsi="宋体" w:eastAsia="宋体" w:cs="宋体"/>
          <w:b/>
          <w:bCs/>
          <w:snapToGrid w:val="0"/>
          <w:color w:val="auto"/>
          <w:spacing w:val="0"/>
          <w:kern w:val="0"/>
          <w:sz w:val="21"/>
          <w:szCs w:val="21"/>
          <w:highlight w:val="none"/>
          <w:lang w:val="en-US" w:eastAsia="zh-CN" w:bidi="ar-SA"/>
        </w:rPr>
        <w:t>并同时提供东莞市住房和城乡建设局企业信息查询系统查询截图加盖投标人公章，否则视为未满足本项目“</w:t>
      </w:r>
      <w:r>
        <w:rPr>
          <w:rFonts w:hint="eastAsia" w:ascii="宋体" w:hAnsi="宋体" w:eastAsia="宋体" w:cs="宋体"/>
          <w:b/>
          <w:color w:val="auto"/>
          <w:szCs w:val="21"/>
          <w:highlight w:val="none"/>
          <w:u w:val="none"/>
        </w:rPr>
        <w:t>★</w:t>
      </w:r>
      <w:r>
        <w:rPr>
          <w:rFonts w:hint="eastAsia" w:ascii="宋体" w:hAnsi="宋体" w:eastAsia="宋体" w:cs="宋体"/>
          <w:b/>
          <w:bCs/>
          <w:snapToGrid w:val="0"/>
          <w:color w:val="auto"/>
          <w:spacing w:val="0"/>
          <w:kern w:val="0"/>
          <w:sz w:val="21"/>
          <w:szCs w:val="21"/>
          <w:highlight w:val="none"/>
          <w:lang w:val="en-US" w:eastAsia="zh-CN" w:bidi="ar-SA"/>
        </w:rPr>
        <w:t>”条款要求。</w:t>
      </w:r>
      <w:r>
        <w:rPr>
          <w:rFonts w:hint="eastAsia" w:ascii="宋体" w:hAnsi="宋体" w:eastAsia="宋体" w:cs="宋体"/>
          <w:color w:val="auto"/>
          <w:kern w:val="2"/>
          <w:sz w:val="21"/>
          <w:szCs w:val="21"/>
          <w:highlight w:val="none"/>
          <w:lang w:val="en-US" w:eastAsia="zh-CN" w:bidi="ar"/>
        </w:rPr>
        <w:t>】</w:t>
      </w:r>
    </w:p>
    <w:p w14:paraId="4526A7FC">
      <w:pPr>
        <w:keepNext w:val="0"/>
        <w:keepLines w:val="0"/>
        <w:widowControl w:val="0"/>
        <w:suppressLineNumbers w:val="0"/>
        <w:autoSpaceDE w:val="0"/>
        <w:autoSpaceDN w:val="0"/>
        <w:adjustRightInd w:val="0"/>
        <w:spacing w:before="0" w:beforeAutospacing="0" w:after="0" w:afterAutospacing="0" w:line="360" w:lineRule="auto"/>
        <w:ind w:left="-31" w:leftChars="-15" w:right="18" w:firstLine="457" w:firstLineChars="218"/>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我公司承诺：</w:t>
      </w:r>
      <w:r>
        <w:rPr>
          <w:rFonts w:hint="eastAsia" w:ascii="宋体" w:hAnsi="宋体" w:eastAsia="宋体" w:cs="宋体"/>
          <w:color w:val="auto"/>
          <w:kern w:val="0"/>
          <w:sz w:val="21"/>
          <w:szCs w:val="21"/>
          <w:highlight w:val="none"/>
          <w:lang w:val="en-US" w:eastAsia="zh-CN" w:bidi="ar"/>
        </w:rPr>
        <w:t>招标结果公示期间，招标人有权核查中标候选人办公场所、设备以及拟投入服务人员情况，如与我公司提交的投标文件不相符，</w:t>
      </w:r>
      <w:r>
        <w:rPr>
          <w:rFonts w:hint="eastAsia" w:ascii="宋体" w:hAnsi="宋体" w:eastAsia="宋体" w:cs="宋体"/>
          <w:color w:val="auto"/>
          <w:kern w:val="2"/>
          <w:sz w:val="21"/>
          <w:szCs w:val="21"/>
          <w:highlight w:val="none"/>
          <w:lang w:val="en-US" w:eastAsia="zh-CN" w:bidi="ar"/>
        </w:rPr>
        <w:t>招标人有权取消我公司中标资格，并根据评标委员会推荐顺序确定其他中标人。</w:t>
      </w:r>
    </w:p>
    <w:p w14:paraId="005C97E4">
      <w:pPr>
        <w:keepNext w:val="0"/>
        <w:keepLines w:val="0"/>
        <w:widowControl w:val="0"/>
        <w:suppressLineNumbers w:val="0"/>
        <w:autoSpaceDE w:val="0"/>
        <w:autoSpaceDN w:val="0"/>
        <w:adjustRightInd w:val="0"/>
        <w:spacing w:before="0" w:beforeAutospacing="0" w:after="0" w:afterAutospacing="0" w:line="360" w:lineRule="auto"/>
        <w:ind w:left="0" w:right="893" w:firstLine="48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特此承诺。</w:t>
      </w:r>
    </w:p>
    <w:p w14:paraId="6A0255AA">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 xml:space="preserve"> </w:t>
      </w:r>
    </w:p>
    <w:p w14:paraId="3B04DCFD">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注：投标人在投标文件中已提供本承诺书的视为作出承诺，否则视为未作承诺。</w:t>
      </w:r>
    </w:p>
    <w:p w14:paraId="315A31A4">
      <w:pPr>
        <w:keepNext w:val="0"/>
        <w:keepLines w:val="0"/>
        <w:widowControl/>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b/>
          <w:bCs w:val="0"/>
          <w:color w:val="auto"/>
          <w:kern w:val="0"/>
          <w:sz w:val="22"/>
          <w:szCs w:val="22"/>
          <w:highlight w:val="none"/>
          <w:lang w:val="en-US" w:eastAsia="zh-CN" w:bidi="ar"/>
        </w:rPr>
        <w:t xml:space="preserve"> </w:t>
      </w:r>
    </w:p>
    <w:p w14:paraId="41027081">
      <w:pPr>
        <w:keepNext w:val="0"/>
        <w:keepLines w:val="0"/>
        <w:widowControl w:val="0"/>
        <w:suppressLineNumbers w:val="0"/>
        <w:autoSpaceDE w:val="0"/>
        <w:autoSpaceDN w:val="0"/>
        <w:adjustRightInd w:val="0"/>
        <w:spacing w:before="0" w:beforeAutospacing="0" w:after="0" w:afterAutospacing="0" w:line="360" w:lineRule="auto"/>
        <w:ind w:left="0" w:right="893"/>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FBA8C45">
      <w:pPr>
        <w:keepNext w:val="0"/>
        <w:keepLines w:val="0"/>
        <w:widowControl w:val="0"/>
        <w:suppressLineNumbers w:val="0"/>
        <w:autoSpaceDE w:val="0"/>
        <w:autoSpaceDN w:val="0"/>
        <w:adjustRightInd w:val="0"/>
        <w:spacing w:before="0" w:beforeAutospacing="0" w:after="0" w:afterAutospacing="0" w:line="360" w:lineRule="auto"/>
        <w:ind w:left="0" w:right="0" w:firstLine="5040" w:firstLineChars="24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投标人：（加盖投标人法人公章）</w:t>
      </w:r>
    </w:p>
    <w:p w14:paraId="14183CCF">
      <w:pPr>
        <w:keepNext w:val="0"/>
        <w:keepLines w:val="0"/>
        <w:widowControl w:val="0"/>
        <w:suppressLineNumbers w:val="0"/>
        <w:autoSpaceDE w:val="0"/>
        <w:autoSpaceDN w:val="0"/>
        <w:adjustRightInd w:val="0"/>
        <w:spacing w:before="0" w:beforeAutospacing="0" w:after="0" w:afterAutospacing="0" w:line="360" w:lineRule="auto"/>
        <w:ind w:left="0" w:right="0" w:firstLine="5040" w:firstLineChars="24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日期：   年   月   日</w:t>
      </w:r>
    </w:p>
    <w:p w14:paraId="570F45AC">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58F3F88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83" w:name="_Toc5006"/>
      <w:bookmarkStart w:id="684" w:name="_Toc12645"/>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71"/>
      <w:bookmarkEnd w:id="672"/>
      <w:bookmarkEnd w:id="673"/>
      <w:bookmarkEnd w:id="674"/>
      <w:bookmarkEnd w:id="675"/>
      <w:bookmarkEnd w:id="676"/>
      <w:bookmarkEnd w:id="677"/>
      <w:bookmarkEnd w:id="678"/>
      <w:bookmarkEnd w:id="681"/>
      <w:bookmarkEnd w:id="682"/>
      <w:bookmarkEnd w:id="683"/>
      <w:bookmarkEnd w:id="684"/>
    </w:p>
    <w:p w14:paraId="228C8F3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85" w:name="_Toc18038"/>
      <w:bookmarkStart w:id="686" w:name="_Toc94107222"/>
      <w:bookmarkStart w:id="687" w:name="_Toc140596940"/>
      <w:bookmarkStart w:id="688" w:name="_Toc31916"/>
      <w:bookmarkStart w:id="689" w:name="_Toc30497"/>
      <w:bookmarkStart w:id="690" w:name="_Toc10472"/>
      <w:bookmarkStart w:id="691" w:name="_Toc104991887"/>
      <w:bookmarkStart w:id="692" w:name="_Toc1977739"/>
      <w:bookmarkStart w:id="693" w:name="_Toc102860085"/>
      <w:bookmarkStart w:id="694" w:name="_Toc102860429"/>
      <w:bookmarkStart w:id="695" w:name="_Toc142508380"/>
      <w:bookmarkStart w:id="696" w:name="_Toc2748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69"/>
      <w:bookmarkEnd w:id="685"/>
      <w:bookmarkEnd w:id="686"/>
      <w:bookmarkEnd w:id="687"/>
      <w:bookmarkEnd w:id="688"/>
      <w:bookmarkEnd w:id="689"/>
      <w:bookmarkEnd w:id="690"/>
      <w:bookmarkEnd w:id="691"/>
      <w:bookmarkEnd w:id="692"/>
      <w:bookmarkEnd w:id="693"/>
      <w:bookmarkEnd w:id="694"/>
      <w:bookmarkEnd w:id="695"/>
      <w:bookmarkEnd w:id="696"/>
    </w:p>
    <w:p w14:paraId="06503DA6">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D3FB66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178E16D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2、组织管理及工作流程（投标人自行编写）；</w:t>
      </w:r>
    </w:p>
    <w:p w14:paraId="1CCF9643">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3、进度保障（投标人自行编写）；</w:t>
      </w:r>
    </w:p>
    <w:p w14:paraId="5A04BE9E">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、质量跟踪及信息反馈机制（投标人自行编写）；</w:t>
      </w:r>
    </w:p>
    <w:p w14:paraId="49C6D3BF">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5、质量保证措施（投标人自行编写）；</w:t>
      </w:r>
    </w:p>
    <w:p w14:paraId="21B0FCD9">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6、拟投入服务人员情况</w:t>
      </w:r>
      <w:r>
        <w:rPr>
          <w:rFonts w:hint="eastAsia" w:ascii="宋体" w:hAnsi="宋体" w:eastAsia="宋体" w:cs="宋体"/>
          <w:color w:val="auto"/>
          <w:kern w:val="0"/>
          <w:szCs w:val="21"/>
          <w:highlight w:val="none"/>
        </w:rPr>
        <w:t>；</w:t>
      </w:r>
    </w:p>
    <w:p w14:paraId="38D3A84D">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7、服务便利性承诺；</w:t>
      </w:r>
    </w:p>
    <w:p w14:paraId="5DA5D10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5240A09">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70"/>
      <w:bookmarkStart w:id="697" w:name="_Toc1977740"/>
      <w:bookmarkStart w:id="698" w:name="_Toc102860086"/>
      <w:bookmarkStart w:id="699" w:name="_Toc140596941"/>
      <w:bookmarkStart w:id="700" w:name="_Toc94107223"/>
      <w:bookmarkStart w:id="701" w:name="_Toc104991888"/>
      <w:bookmarkStart w:id="702" w:name="_Toc102860430"/>
      <w:bookmarkStart w:id="703" w:name="_Toc142508381"/>
      <w:bookmarkStart w:id="704" w:name="_Toc533708135"/>
    </w:p>
    <w:p w14:paraId="64968A9F">
      <w:pPr>
        <w:pStyle w:val="19"/>
        <w:spacing w:line="360" w:lineRule="auto"/>
        <w:jc w:val="center"/>
        <w:rPr>
          <w:rFonts w:hint="eastAsia" w:ascii="宋体" w:hAnsi="宋体" w:eastAsia="宋体" w:cs="宋体"/>
          <w:b/>
          <w:color w:val="auto"/>
          <w:kern w:val="0"/>
          <w:szCs w:val="21"/>
          <w:highlight w:val="none"/>
        </w:rPr>
      </w:pPr>
    </w:p>
    <w:p w14:paraId="01D25448">
      <w:pPr>
        <w:pStyle w:val="19"/>
        <w:spacing w:line="360" w:lineRule="auto"/>
        <w:jc w:val="center"/>
        <w:rPr>
          <w:rFonts w:hint="eastAsia" w:ascii="宋体" w:hAnsi="宋体" w:eastAsia="宋体" w:cs="宋体"/>
          <w:b/>
          <w:color w:val="auto"/>
          <w:kern w:val="0"/>
          <w:szCs w:val="21"/>
          <w:highlight w:val="none"/>
        </w:rPr>
      </w:pPr>
    </w:p>
    <w:p w14:paraId="0084EDF2">
      <w:pPr>
        <w:pStyle w:val="19"/>
        <w:spacing w:line="360" w:lineRule="auto"/>
        <w:jc w:val="center"/>
        <w:rPr>
          <w:rFonts w:hint="eastAsia" w:ascii="宋体" w:hAnsi="宋体" w:eastAsia="宋体" w:cs="宋体"/>
          <w:b/>
          <w:color w:val="auto"/>
          <w:kern w:val="0"/>
          <w:szCs w:val="21"/>
          <w:highlight w:val="none"/>
        </w:rPr>
      </w:pPr>
    </w:p>
    <w:p w14:paraId="12508157">
      <w:pPr>
        <w:pStyle w:val="19"/>
        <w:spacing w:line="360" w:lineRule="auto"/>
        <w:jc w:val="center"/>
        <w:rPr>
          <w:rFonts w:hint="eastAsia" w:ascii="宋体" w:hAnsi="宋体" w:eastAsia="宋体" w:cs="宋体"/>
          <w:b/>
          <w:color w:val="auto"/>
          <w:kern w:val="0"/>
          <w:szCs w:val="21"/>
          <w:highlight w:val="none"/>
        </w:rPr>
      </w:pPr>
    </w:p>
    <w:p w14:paraId="5C8DBBF1">
      <w:pPr>
        <w:pStyle w:val="19"/>
        <w:spacing w:line="360" w:lineRule="auto"/>
        <w:jc w:val="center"/>
        <w:rPr>
          <w:rFonts w:hint="eastAsia" w:ascii="宋体" w:hAnsi="宋体" w:eastAsia="宋体" w:cs="宋体"/>
          <w:b/>
          <w:color w:val="auto"/>
          <w:kern w:val="0"/>
          <w:szCs w:val="21"/>
          <w:highlight w:val="none"/>
        </w:rPr>
      </w:pPr>
    </w:p>
    <w:p w14:paraId="78D1ECA4">
      <w:pPr>
        <w:pStyle w:val="19"/>
        <w:spacing w:line="360" w:lineRule="auto"/>
        <w:jc w:val="center"/>
        <w:rPr>
          <w:rFonts w:hint="eastAsia" w:ascii="宋体" w:hAnsi="宋体" w:eastAsia="宋体" w:cs="宋体"/>
          <w:b/>
          <w:color w:val="auto"/>
          <w:kern w:val="0"/>
          <w:szCs w:val="21"/>
          <w:highlight w:val="none"/>
        </w:rPr>
      </w:pPr>
    </w:p>
    <w:p w14:paraId="09FD2EBE">
      <w:pPr>
        <w:pStyle w:val="19"/>
        <w:spacing w:line="360" w:lineRule="auto"/>
        <w:jc w:val="center"/>
        <w:rPr>
          <w:rFonts w:hint="eastAsia" w:ascii="宋体" w:hAnsi="宋体" w:eastAsia="宋体" w:cs="宋体"/>
          <w:b/>
          <w:color w:val="auto"/>
          <w:kern w:val="0"/>
          <w:szCs w:val="21"/>
          <w:highlight w:val="none"/>
        </w:rPr>
      </w:pPr>
    </w:p>
    <w:p w14:paraId="3C642E86">
      <w:pPr>
        <w:pStyle w:val="19"/>
        <w:spacing w:line="360" w:lineRule="auto"/>
        <w:jc w:val="center"/>
        <w:rPr>
          <w:rFonts w:hint="eastAsia" w:ascii="宋体" w:hAnsi="宋体" w:eastAsia="宋体" w:cs="宋体"/>
          <w:b/>
          <w:color w:val="auto"/>
          <w:kern w:val="0"/>
          <w:szCs w:val="21"/>
          <w:highlight w:val="none"/>
        </w:rPr>
      </w:pPr>
    </w:p>
    <w:p w14:paraId="285F66E9">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A1CD67F">
      <w:pPr>
        <w:pStyle w:val="19"/>
        <w:spacing w:line="360" w:lineRule="auto"/>
        <w:rPr>
          <w:rFonts w:hint="eastAsia" w:ascii="宋体" w:hAnsi="宋体" w:eastAsia="宋体" w:cs="宋体"/>
          <w:color w:val="auto"/>
          <w:highlight w:val="none"/>
        </w:rPr>
      </w:pPr>
    </w:p>
    <w:p w14:paraId="618C5CD8">
      <w:pPr>
        <w:pStyle w:val="19"/>
        <w:spacing w:line="360" w:lineRule="auto"/>
        <w:rPr>
          <w:rFonts w:hint="eastAsia" w:ascii="宋体" w:hAnsi="宋体" w:eastAsia="宋体" w:cs="宋体"/>
          <w:color w:val="auto"/>
          <w:highlight w:val="none"/>
        </w:rPr>
      </w:pPr>
    </w:p>
    <w:p w14:paraId="32971449">
      <w:pPr>
        <w:pStyle w:val="19"/>
        <w:spacing w:line="360" w:lineRule="auto"/>
        <w:rPr>
          <w:rFonts w:hint="eastAsia" w:ascii="宋体" w:hAnsi="宋体" w:eastAsia="宋体" w:cs="宋体"/>
          <w:color w:val="auto"/>
          <w:highlight w:val="none"/>
        </w:rPr>
      </w:pPr>
    </w:p>
    <w:p w14:paraId="726738EA">
      <w:pPr>
        <w:pStyle w:val="19"/>
        <w:spacing w:line="360" w:lineRule="auto"/>
        <w:rPr>
          <w:rFonts w:hint="eastAsia" w:ascii="宋体" w:hAnsi="宋体" w:eastAsia="宋体" w:cs="宋体"/>
          <w:color w:val="auto"/>
          <w:highlight w:val="none"/>
        </w:rPr>
      </w:pPr>
    </w:p>
    <w:p w14:paraId="08B62745">
      <w:pPr>
        <w:pStyle w:val="19"/>
        <w:spacing w:line="360" w:lineRule="auto"/>
        <w:rPr>
          <w:rFonts w:hint="eastAsia" w:ascii="宋体" w:hAnsi="宋体" w:eastAsia="宋体" w:cs="宋体"/>
          <w:color w:val="auto"/>
          <w:highlight w:val="none"/>
        </w:rPr>
      </w:pPr>
    </w:p>
    <w:p w14:paraId="5985C852">
      <w:pPr>
        <w:pStyle w:val="19"/>
        <w:spacing w:line="360" w:lineRule="auto"/>
        <w:rPr>
          <w:rFonts w:hint="eastAsia" w:ascii="宋体" w:hAnsi="宋体" w:eastAsia="宋体" w:cs="宋体"/>
          <w:color w:val="auto"/>
          <w:highlight w:val="none"/>
        </w:rPr>
      </w:pPr>
    </w:p>
    <w:p w14:paraId="449DD85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3869D6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74404E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6EC1E52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877C7A3">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E1A3EC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F7FEEC8">
      <w:pPr>
        <w:pStyle w:val="19"/>
        <w:spacing w:line="360" w:lineRule="auto"/>
        <w:rPr>
          <w:rFonts w:hint="eastAsia" w:ascii="宋体" w:hAnsi="宋体" w:eastAsia="宋体" w:cs="宋体"/>
          <w:color w:val="auto"/>
          <w:highlight w:val="none"/>
        </w:rPr>
      </w:pPr>
    </w:p>
    <w:p w14:paraId="33C8C8C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E3C3AD">
      <w:pPr>
        <w:pStyle w:val="19"/>
        <w:spacing w:line="360" w:lineRule="auto"/>
        <w:rPr>
          <w:rFonts w:hint="eastAsia" w:ascii="宋体" w:hAnsi="宋体" w:eastAsia="宋体" w:cs="宋体"/>
          <w:color w:val="auto"/>
          <w:highlight w:val="none"/>
        </w:rPr>
      </w:pPr>
    </w:p>
    <w:p w14:paraId="4DC1EC97">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468AFE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0E7A18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D41843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66A2C29B">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4548A34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3BA1C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464AB2C">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38099D3">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14:paraId="74C268F8">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563997E6">
            <w:pPr>
              <w:adjustRightInd w:val="0"/>
              <w:snapToGrid w:val="0"/>
              <w:spacing w:line="360" w:lineRule="auto"/>
              <w:rPr>
                <w:rFonts w:hint="eastAsia" w:ascii="宋体" w:hAnsi="宋体" w:eastAsia="宋体" w:cs="宋体"/>
                <w:bCs/>
                <w:color w:val="auto"/>
                <w:szCs w:val="21"/>
                <w:highlight w:val="none"/>
              </w:rPr>
            </w:pPr>
          </w:p>
        </w:tc>
      </w:tr>
      <w:tr w14:paraId="3A00AA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8514322">
            <w:pPr>
              <w:rPr>
                <w:rFonts w:hint="eastAsia" w:ascii="宋体" w:hAnsi="宋体" w:eastAsia="宋体" w:cs="宋体"/>
                <w:bCs/>
                <w:color w:val="auto"/>
                <w:szCs w:val="21"/>
                <w:highlight w:val="none"/>
              </w:rPr>
            </w:pPr>
          </w:p>
        </w:tc>
        <w:tc>
          <w:tcPr>
            <w:tcW w:w="1337" w:type="pct"/>
            <w:vAlign w:val="center"/>
          </w:tcPr>
          <w:p w14:paraId="5CCCA626">
            <w:pPr>
              <w:rPr>
                <w:rFonts w:hint="eastAsia" w:ascii="宋体" w:hAnsi="宋体" w:eastAsia="宋体" w:cs="宋体"/>
                <w:bCs/>
                <w:color w:val="auto"/>
                <w:szCs w:val="21"/>
                <w:highlight w:val="none"/>
              </w:rPr>
            </w:pPr>
          </w:p>
        </w:tc>
        <w:tc>
          <w:tcPr>
            <w:tcW w:w="1047" w:type="pct"/>
            <w:vAlign w:val="center"/>
          </w:tcPr>
          <w:p w14:paraId="0D33D329">
            <w:pP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72E024BB">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8FE44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03406F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F294721">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14:paraId="1F66C00D">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65589902">
            <w:pPr>
              <w:spacing w:line="360" w:lineRule="auto"/>
              <w:ind w:firstLine="8" w:firstLineChars="4"/>
              <w:rPr>
                <w:rFonts w:hint="eastAsia" w:ascii="宋体" w:hAnsi="宋体" w:eastAsia="宋体" w:cs="宋体"/>
                <w:bCs/>
                <w:color w:val="auto"/>
                <w:szCs w:val="21"/>
                <w:highlight w:val="none"/>
              </w:rPr>
            </w:pPr>
          </w:p>
        </w:tc>
      </w:tr>
      <w:tr w14:paraId="714DFB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3A3F081">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2844215">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0FE9E5E9">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3DBF82AF">
            <w:pPr>
              <w:adjustRightInd w:val="0"/>
              <w:snapToGrid w:val="0"/>
              <w:spacing w:line="360" w:lineRule="auto"/>
              <w:rPr>
                <w:rFonts w:hint="eastAsia" w:ascii="宋体" w:hAnsi="宋体" w:eastAsia="宋体" w:cs="宋体"/>
                <w:bCs/>
                <w:color w:val="auto"/>
                <w:szCs w:val="21"/>
                <w:highlight w:val="none"/>
              </w:rPr>
            </w:pPr>
          </w:p>
        </w:tc>
      </w:tr>
      <w:tr w14:paraId="03171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A24596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5E77C841">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45958F44">
            <w:pPr>
              <w:spacing w:line="360" w:lineRule="auto"/>
              <w:jc w:val="center"/>
              <w:rPr>
                <w:rFonts w:hint="eastAsia" w:ascii="宋体" w:hAnsi="宋体" w:eastAsia="宋体" w:cs="宋体"/>
                <w:bCs/>
                <w:color w:val="auto"/>
                <w:szCs w:val="21"/>
                <w:highlight w:val="none"/>
              </w:rPr>
            </w:pPr>
          </w:p>
        </w:tc>
      </w:tr>
    </w:tbl>
    <w:p w14:paraId="588263D7">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7D3537A">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05" w:name="_Toc1335"/>
      <w:bookmarkStart w:id="706" w:name="_Toc18999"/>
      <w:bookmarkStart w:id="707" w:name="_Toc30448"/>
      <w:bookmarkStart w:id="708" w:name="_Toc32401"/>
      <w:bookmarkStart w:id="709" w:name="_Toc2793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97"/>
      <w:bookmarkEnd w:id="698"/>
      <w:bookmarkEnd w:id="699"/>
      <w:bookmarkEnd w:id="700"/>
      <w:bookmarkEnd w:id="701"/>
      <w:bookmarkEnd w:id="702"/>
      <w:bookmarkEnd w:id="703"/>
      <w:bookmarkEnd w:id="704"/>
      <w:bookmarkEnd w:id="705"/>
      <w:bookmarkEnd w:id="706"/>
      <w:bookmarkEnd w:id="707"/>
      <w:bookmarkEnd w:id="708"/>
      <w:bookmarkEnd w:id="709"/>
    </w:p>
    <w:p w14:paraId="0E24FD65">
      <w:pPr>
        <w:spacing w:before="120" w:after="120" w:line="360" w:lineRule="auto"/>
        <w:jc w:val="center"/>
        <w:rPr>
          <w:rFonts w:ascii="宋体" w:hAnsi="宋体" w:eastAsia="宋体" w:cs="Times New Roman"/>
          <w:color w:val="auto"/>
          <w:kern w:val="0"/>
          <w:szCs w:val="21"/>
          <w:highlight w:val="none"/>
        </w:rPr>
      </w:pPr>
      <w:bookmarkStart w:id="710" w:name="_Toc17449_WPSOffice_Level3"/>
      <w:r>
        <w:rPr>
          <w:rFonts w:hint="eastAsia" w:ascii="宋体" w:hAnsi="宋体" w:eastAsia="宋体" w:cs="宋体"/>
          <w:b/>
          <w:color w:val="auto"/>
          <w:kern w:val="0"/>
          <w:sz w:val="30"/>
          <w:szCs w:val="30"/>
          <w:highlight w:val="none"/>
          <w:lang w:val="zh-CN"/>
        </w:rPr>
        <w:t>用户需求偏离表</w:t>
      </w:r>
      <w:bookmarkEnd w:id="71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952"/>
        <w:gridCol w:w="6413"/>
        <w:gridCol w:w="722"/>
        <w:gridCol w:w="867"/>
        <w:gridCol w:w="817"/>
      </w:tblGrid>
      <w:tr w14:paraId="444F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646A47D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45B35C1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14:paraId="2D494B8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2594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075E2029">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7CE215F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2FB423E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509843F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5B4E965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1" w:type="pct"/>
            <w:vAlign w:val="center"/>
          </w:tcPr>
          <w:p w14:paraId="3CA9822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7C4A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1C43B99B">
            <w:pPr>
              <w:spacing w:line="240" w:lineRule="auto"/>
              <w:jc w:val="center"/>
              <w:rPr>
                <w:rFonts w:ascii="宋体" w:hAnsi="宋体" w:eastAsia="宋体" w:cs="宋体"/>
                <w:b w:val="0"/>
                <w:bCs w:val="0"/>
                <w:color w:val="auto"/>
                <w:kern w:val="0"/>
                <w:sz w:val="21"/>
                <w:szCs w:val="21"/>
                <w:highlight w:val="none"/>
              </w:rPr>
            </w:pPr>
            <w:r>
              <w:rPr>
                <w:rFonts w:ascii="宋体" w:hAnsi="宋体" w:eastAsia="宋体" w:cs="宋体"/>
                <w:b w:val="0"/>
                <w:bCs w:val="0"/>
                <w:color w:val="auto"/>
                <w:kern w:val="0"/>
                <w:sz w:val="21"/>
                <w:szCs w:val="21"/>
                <w:highlight w:val="none"/>
              </w:rPr>
              <w:t>1</w:t>
            </w:r>
          </w:p>
        </w:tc>
        <w:tc>
          <w:tcPr>
            <w:tcW w:w="459" w:type="pct"/>
            <w:vAlign w:val="center"/>
          </w:tcPr>
          <w:p w14:paraId="6AC5C7A1">
            <w:pPr>
              <w:spacing w:line="240" w:lineRule="auto"/>
              <w:jc w:val="center"/>
              <w:rPr>
                <w:rFonts w:hint="eastAsia" w:ascii="宋体" w:hAnsi="宋体" w:eastAsia="宋体" w:cs="Times New Roman"/>
                <w:b/>
                <w:bCs/>
                <w:color w:val="auto"/>
                <w:kern w:val="0"/>
                <w:sz w:val="21"/>
                <w:szCs w:val="21"/>
                <w:highlight w:val="none"/>
                <w:lang w:val="en-US" w:eastAsia="zh-CN"/>
              </w:rPr>
            </w:pPr>
            <w:r>
              <w:rPr>
                <w:rFonts w:hint="eastAsia" w:ascii="宋体" w:hAnsi="宋体" w:eastAsia="宋体" w:cs="Times New Roman"/>
                <w:b/>
                <w:bCs/>
                <w:color w:val="auto"/>
                <w:kern w:val="0"/>
                <w:sz w:val="21"/>
                <w:szCs w:val="21"/>
                <w:highlight w:val="none"/>
                <w:lang w:val="en-US" w:eastAsia="zh-CN"/>
              </w:rPr>
              <w:t>二</w:t>
            </w:r>
          </w:p>
        </w:tc>
        <w:tc>
          <w:tcPr>
            <w:tcW w:w="3092" w:type="pct"/>
            <w:vAlign w:val="center"/>
          </w:tcPr>
          <w:p w14:paraId="7DA9F223">
            <w:pPr>
              <w:autoSpaceDE w:val="0"/>
              <w:autoSpaceDN w:val="0"/>
              <w:adjustRightInd w:val="0"/>
              <w:spacing w:line="240" w:lineRule="auto"/>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服务期限及服务内容</w:t>
            </w:r>
          </w:p>
        </w:tc>
        <w:tc>
          <w:tcPr>
            <w:tcW w:w="348" w:type="pct"/>
            <w:vAlign w:val="center"/>
          </w:tcPr>
          <w:p w14:paraId="1187B229">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418" w:type="pct"/>
            <w:vAlign w:val="center"/>
          </w:tcPr>
          <w:p w14:paraId="465CCC42">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391" w:type="pct"/>
            <w:vAlign w:val="center"/>
          </w:tcPr>
          <w:p w14:paraId="285DC5B7">
            <w:pPr>
              <w:keepNext/>
              <w:keepLines/>
              <w:spacing w:line="240" w:lineRule="auto"/>
              <w:jc w:val="center"/>
              <w:outlineLvl w:val="2"/>
              <w:rPr>
                <w:rFonts w:ascii="宋体" w:hAnsi="宋体" w:eastAsia="宋体" w:cs="宋体"/>
                <w:b w:val="0"/>
                <w:bCs w:val="0"/>
                <w:color w:val="auto"/>
                <w:kern w:val="0"/>
                <w:sz w:val="21"/>
                <w:szCs w:val="21"/>
                <w:highlight w:val="none"/>
              </w:rPr>
            </w:pPr>
          </w:p>
        </w:tc>
      </w:tr>
      <w:tr w14:paraId="1C7F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3C4170C8">
            <w:pPr>
              <w:spacing w:line="240" w:lineRule="auto"/>
              <w:jc w:val="center"/>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p>
        </w:tc>
        <w:tc>
          <w:tcPr>
            <w:tcW w:w="459" w:type="pct"/>
            <w:vAlign w:val="center"/>
          </w:tcPr>
          <w:p w14:paraId="1A7DB9E5">
            <w:pPr>
              <w:spacing w:line="240" w:lineRule="auto"/>
              <w:jc w:val="center"/>
              <w:rPr>
                <w:rFonts w:hint="eastAsia" w:ascii="宋体" w:hAnsi="宋体" w:eastAsia="宋体" w:cs="Times New Roman"/>
                <w:b/>
                <w:bCs/>
                <w:color w:val="auto"/>
                <w:kern w:val="0"/>
                <w:sz w:val="21"/>
                <w:szCs w:val="21"/>
                <w:highlight w:val="none"/>
                <w:lang w:val="en-US" w:eastAsia="zh-CN"/>
              </w:rPr>
            </w:pPr>
            <w:r>
              <w:rPr>
                <w:rFonts w:hint="eastAsia" w:ascii="宋体" w:hAnsi="宋体" w:eastAsia="宋体" w:cs="Times New Roman"/>
                <w:b/>
                <w:bCs/>
                <w:color w:val="auto"/>
                <w:kern w:val="0"/>
                <w:sz w:val="21"/>
                <w:szCs w:val="21"/>
                <w:highlight w:val="none"/>
                <w:lang w:val="en-US" w:eastAsia="zh-CN"/>
              </w:rPr>
              <w:t>三</w:t>
            </w:r>
          </w:p>
        </w:tc>
        <w:tc>
          <w:tcPr>
            <w:tcW w:w="3092" w:type="pct"/>
            <w:vAlign w:val="center"/>
          </w:tcPr>
          <w:p w14:paraId="26EF41AB">
            <w:pPr>
              <w:adjustRightInd w:val="0"/>
              <w:snapToGrid/>
              <w:spacing w:line="240" w:lineRule="auto"/>
              <w:ind w:firstLine="0"/>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服务费的计算及支付方式</w:t>
            </w:r>
          </w:p>
        </w:tc>
        <w:tc>
          <w:tcPr>
            <w:tcW w:w="348" w:type="pct"/>
            <w:vAlign w:val="center"/>
          </w:tcPr>
          <w:p w14:paraId="25E07146">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418" w:type="pct"/>
            <w:vAlign w:val="center"/>
          </w:tcPr>
          <w:p w14:paraId="225010B7">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391" w:type="pct"/>
            <w:vAlign w:val="center"/>
          </w:tcPr>
          <w:p w14:paraId="1079715B">
            <w:pPr>
              <w:keepNext/>
              <w:keepLines/>
              <w:spacing w:line="240" w:lineRule="auto"/>
              <w:jc w:val="center"/>
              <w:outlineLvl w:val="2"/>
              <w:rPr>
                <w:rFonts w:ascii="宋体" w:hAnsi="宋体" w:eastAsia="宋体" w:cs="宋体"/>
                <w:b w:val="0"/>
                <w:bCs w:val="0"/>
                <w:color w:val="auto"/>
                <w:kern w:val="0"/>
                <w:sz w:val="21"/>
                <w:szCs w:val="21"/>
                <w:highlight w:val="none"/>
              </w:rPr>
            </w:pPr>
          </w:p>
        </w:tc>
      </w:tr>
      <w:tr w14:paraId="72B5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4536E692">
            <w:pPr>
              <w:spacing w:line="240" w:lineRule="auto"/>
              <w:jc w:val="center"/>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p>
        </w:tc>
        <w:tc>
          <w:tcPr>
            <w:tcW w:w="459" w:type="pct"/>
            <w:vAlign w:val="center"/>
          </w:tcPr>
          <w:p w14:paraId="03B29F5F">
            <w:pPr>
              <w:spacing w:line="240" w:lineRule="auto"/>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四</w:t>
            </w:r>
          </w:p>
        </w:tc>
        <w:tc>
          <w:tcPr>
            <w:tcW w:w="3092" w:type="pct"/>
            <w:vAlign w:val="center"/>
          </w:tcPr>
          <w:p w14:paraId="4EE1D97E">
            <w:pPr>
              <w:spacing w:line="240" w:lineRule="auto"/>
              <w:ind w:firstLine="0" w:firstLineChars="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成果文件交付期限及要求</w:t>
            </w:r>
          </w:p>
        </w:tc>
        <w:tc>
          <w:tcPr>
            <w:tcW w:w="348" w:type="pct"/>
            <w:vAlign w:val="center"/>
          </w:tcPr>
          <w:p w14:paraId="3B53BD2F">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418" w:type="pct"/>
            <w:vAlign w:val="center"/>
          </w:tcPr>
          <w:p w14:paraId="46ACB74C">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391" w:type="pct"/>
            <w:vAlign w:val="center"/>
          </w:tcPr>
          <w:p w14:paraId="72D06F46">
            <w:pPr>
              <w:keepNext/>
              <w:keepLines/>
              <w:spacing w:line="240" w:lineRule="auto"/>
              <w:jc w:val="center"/>
              <w:outlineLvl w:val="2"/>
              <w:rPr>
                <w:rFonts w:ascii="宋体" w:hAnsi="宋体" w:eastAsia="宋体" w:cs="宋体"/>
                <w:b w:val="0"/>
                <w:bCs w:val="0"/>
                <w:color w:val="auto"/>
                <w:kern w:val="0"/>
                <w:sz w:val="21"/>
                <w:szCs w:val="21"/>
                <w:highlight w:val="none"/>
              </w:rPr>
            </w:pPr>
          </w:p>
        </w:tc>
      </w:tr>
      <w:tr w14:paraId="7E1F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097E5F26">
            <w:pPr>
              <w:spacing w:line="240" w:lineRule="auto"/>
              <w:jc w:val="center"/>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p>
        </w:tc>
        <w:tc>
          <w:tcPr>
            <w:tcW w:w="459" w:type="pct"/>
            <w:vAlign w:val="center"/>
          </w:tcPr>
          <w:p w14:paraId="2587F2D2">
            <w:pPr>
              <w:spacing w:line="240" w:lineRule="auto"/>
              <w:jc w:val="center"/>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五</w:t>
            </w:r>
          </w:p>
        </w:tc>
        <w:tc>
          <w:tcPr>
            <w:tcW w:w="3092" w:type="pct"/>
            <w:vAlign w:val="center"/>
          </w:tcPr>
          <w:p w14:paraId="331EE17F">
            <w:pPr>
              <w:spacing w:line="240" w:lineRule="auto"/>
              <w:ind w:firstLine="0" w:firstLineChars="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服务要求</w:t>
            </w:r>
          </w:p>
        </w:tc>
        <w:tc>
          <w:tcPr>
            <w:tcW w:w="348" w:type="pct"/>
            <w:vAlign w:val="center"/>
          </w:tcPr>
          <w:p w14:paraId="34C1619F">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418" w:type="pct"/>
            <w:vAlign w:val="center"/>
          </w:tcPr>
          <w:p w14:paraId="2817313E">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391" w:type="pct"/>
            <w:vAlign w:val="center"/>
          </w:tcPr>
          <w:p w14:paraId="758D14BC">
            <w:pPr>
              <w:keepNext/>
              <w:keepLines/>
              <w:spacing w:line="240" w:lineRule="auto"/>
              <w:jc w:val="center"/>
              <w:outlineLvl w:val="2"/>
              <w:rPr>
                <w:rFonts w:ascii="宋体" w:hAnsi="宋体" w:eastAsia="宋体" w:cs="宋体"/>
                <w:b w:val="0"/>
                <w:bCs w:val="0"/>
                <w:color w:val="auto"/>
                <w:kern w:val="0"/>
                <w:sz w:val="21"/>
                <w:szCs w:val="21"/>
                <w:highlight w:val="none"/>
              </w:rPr>
            </w:pPr>
          </w:p>
        </w:tc>
      </w:tr>
      <w:tr w14:paraId="3C34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6"/>
            <w:vAlign w:val="center"/>
          </w:tcPr>
          <w:p w14:paraId="73486176">
            <w:pPr>
              <w:keepNext/>
              <w:keepLines/>
              <w:spacing w:line="240" w:lineRule="auto"/>
              <w:jc w:val="both"/>
              <w:outlineLvl w:val="2"/>
              <w:rPr>
                <w:rFonts w:hint="eastAsia" w:ascii="宋体" w:hAnsi="宋体" w:eastAsia="宋体" w:cs="宋体"/>
                <w:b w:val="0"/>
                <w:bCs w:val="0"/>
                <w:color w:val="auto"/>
                <w:kern w:val="0"/>
                <w:sz w:val="21"/>
                <w:szCs w:val="21"/>
                <w:highlight w:val="none"/>
                <w:lang w:eastAsia="zh-CN"/>
              </w:rPr>
            </w:pPr>
            <w:bookmarkStart w:id="711" w:name="_Toc11526"/>
            <w:bookmarkStart w:id="712" w:name="_Toc22247"/>
            <w:r>
              <w:rPr>
                <w:rFonts w:hint="eastAsia" w:ascii="宋体" w:hAnsi="宋体" w:eastAsia="宋体" w:cs="宋体"/>
                <w:b/>
                <w:bCs/>
                <w:color w:val="auto"/>
                <w:kern w:val="0"/>
                <w:sz w:val="21"/>
                <w:szCs w:val="21"/>
                <w:highlight w:val="none"/>
              </w:rPr>
              <w:t>用户需求书“★”条款汇总</w:t>
            </w:r>
            <w:r>
              <w:rPr>
                <w:rFonts w:hint="eastAsia" w:ascii="宋体" w:hAnsi="宋体" w:eastAsia="宋体" w:cs="宋体"/>
                <w:b/>
                <w:bCs/>
                <w:color w:val="auto"/>
                <w:kern w:val="0"/>
                <w:sz w:val="21"/>
                <w:szCs w:val="21"/>
                <w:highlight w:val="none"/>
                <w:lang w:eastAsia="zh-CN"/>
              </w:rPr>
              <w:t>：</w:t>
            </w:r>
            <w:bookmarkEnd w:id="711"/>
            <w:bookmarkEnd w:id="712"/>
          </w:p>
        </w:tc>
      </w:tr>
      <w:tr w14:paraId="4242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2DD82A11">
            <w:pPr>
              <w:spacing w:line="24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1</w:t>
            </w:r>
          </w:p>
        </w:tc>
        <w:tc>
          <w:tcPr>
            <w:tcW w:w="459" w:type="pct"/>
            <w:vAlign w:val="center"/>
          </w:tcPr>
          <w:p w14:paraId="74340CBD">
            <w:pPr>
              <w:spacing w:line="240" w:lineRule="auto"/>
              <w:jc w:val="center"/>
              <w:rPr>
                <w:rFonts w:hint="eastAsia" w:ascii="宋体" w:hAnsi="宋体" w:eastAsia="宋体" w:cs="Times New Roman"/>
                <w:b w:val="0"/>
                <w:bCs w:val="0"/>
                <w:color w:val="auto"/>
                <w:kern w:val="0"/>
                <w:sz w:val="21"/>
                <w:szCs w:val="21"/>
                <w:highlight w:val="none"/>
                <w:lang w:val="en-US" w:eastAsia="zh-CN"/>
              </w:rPr>
            </w:pPr>
            <w:r>
              <w:rPr>
                <w:rFonts w:hint="eastAsia" w:ascii="宋体" w:hAnsi="宋体" w:eastAsia="宋体" w:cs="Times New Roman"/>
                <w:b w:val="0"/>
                <w:bCs w:val="0"/>
                <w:color w:val="auto"/>
                <w:kern w:val="0"/>
                <w:sz w:val="21"/>
                <w:szCs w:val="21"/>
                <w:highlight w:val="none"/>
                <w:lang w:val="en-US" w:eastAsia="zh-CN"/>
              </w:rPr>
              <w:t>五</w:t>
            </w:r>
          </w:p>
        </w:tc>
        <w:tc>
          <w:tcPr>
            <w:tcW w:w="3092" w:type="pct"/>
            <w:vAlign w:val="center"/>
          </w:tcPr>
          <w:p w14:paraId="149925B5">
            <w:pPr>
              <w:spacing w:line="360" w:lineRule="auto"/>
              <w:ind w:firstLine="0" w:firstLineChars="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★5.</w:t>
            </w:r>
            <w:r>
              <w:rPr>
                <w:rFonts w:hint="eastAsia" w:ascii="宋体" w:hAnsi="宋体" w:eastAsia="宋体"/>
                <w:b/>
                <w:bCs/>
                <w:color w:val="auto"/>
                <w:sz w:val="21"/>
                <w:szCs w:val="21"/>
                <w:highlight w:val="none"/>
                <w:lang w:val="en-US" w:eastAsia="zh-CN"/>
              </w:rPr>
              <w:t xml:space="preserve">11 </w:t>
            </w:r>
            <w:r>
              <w:rPr>
                <w:rFonts w:hint="eastAsia" w:ascii="宋体" w:hAnsi="宋体" w:eastAsia="宋体"/>
                <w:b/>
                <w:bCs/>
                <w:color w:val="auto"/>
                <w:sz w:val="21"/>
                <w:szCs w:val="21"/>
                <w:highlight w:val="none"/>
              </w:rPr>
              <w:t>人员要求</w:t>
            </w:r>
          </w:p>
          <w:p w14:paraId="22E13FD6">
            <w:pPr>
              <w:spacing w:line="360" w:lineRule="auto"/>
              <w:ind w:firstLine="0" w:firstLineChars="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（1）拟投入本项目的技术负责人(仅一人)须具有一级造价工程师注册证书，并具有工程类相关高级专业技术职称。</w:t>
            </w:r>
          </w:p>
          <w:p w14:paraId="7778DFD8">
            <w:pPr>
              <w:spacing w:line="360" w:lineRule="auto"/>
              <w:ind w:firstLine="0" w:firstLineChars="0"/>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（2）拟投入本项目的服务团队(除技术负责人外)取得二级或以上造价工程师注册证书的人员应不少于6人。</w:t>
            </w:r>
          </w:p>
          <w:p w14:paraId="38265D74">
            <w:pPr>
              <w:spacing w:line="360" w:lineRule="auto"/>
              <w:ind w:firstLine="0" w:firstLineChars="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注：1、同一人员具备同一种类证书的仅按最高等级证书计算；2、以上人员须提供以下证明材料复印件加盖投标人公章：（1）人员身份证；（2）造价工程师职业资格证书；（3）造价工程师注册证书【或在“全国建筑市场监管公共服务平台”（网址：https://jzsc.mohurd.gov.cn/home）上的执业注册信息截图】；（4）职称证书；（5）人力资源和社会保障部门（或税务部门）出具的2024年7月至2024年12月的投标人为其缴纳的社保证明材料。</w:t>
            </w:r>
          </w:p>
        </w:tc>
        <w:tc>
          <w:tcPr>
            <w:tcW w:w="348" w:type="pct"/>
            <w:vAlign w:val="center"/>
          </w:tcPr>
          <w:p w14:paraId="7EBC8384">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418" w:type="pct"/>
            <w:vAlign w:val="center"/>
          </w:tcPr>
          <w:p w14:paraId="186F02F0">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391" w:type="pct"/>
            <w:vAlign w:val="center"/>
          </w:tcPr>
          <w:p w14:paraId="0C10A121">
            <w:pPr>
              <w:keepNext/>
              <w:keepLines/>
              <w:spacing w:line="240" w:lineRule="auto"/>
              <w:jc w:val="center"/>
              <w:outlineLvl w:val="2"/>
              <w:rPr>
                <w:rFonts w:ascii="宋体" w:hAnsi="宋体" w:eastAsia="宋体" w:cs="宋体"/>
                <w:b w:val="0"/>
                <w:bCs w:val="0"/>
                <w:color w:val="auto"/>
                <w:kern w:val="0"/>
                <w:sz w:val="21"/>
                <w:szCs w:val="21"/>
                <w:highlight w:val="none"/>
              </w:rPr>
            </w:pPr>
          </w:p>
        </w:tc>
      </w:tr>
      <w:tr w14:paraId="598F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7B23ACF0">
            <w:pPr>
              <w:spacing w:line="240" w:lineRule="auto"/>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2</w:t>
            </w:r>
          </w:p>
        </w:tc>
        <w:tc>
          <w:tcPr>
            <w:tcW w:w="459" w:type="pct"/>
            <w:vAlign w:val="center"/>
          </w:tcPr>
          <w:p w14:paraId="00ED6B37">
            <w:pPr>
              <w:spacing w:line="240" w:lineRule="auto"/>
              <w:jc w:val="center"/>
              <w:rPr>
                <w:rFonts w:hint="default" w:ascii="宋体" w:hAnsi="宋体" w:eastAsia="宋体" w:cs="Times New Roman"/>
                <w:b w:val="0"/>
                <w:bCs w:val="0"/>
                <w:color w:val="auto"/>
                <w:kern w:val="0"/>
                <w:sz w:val="21"/>
                <w:szCs w:val="21"/>
                <w:highlight w:val="none"/>
                <w:lang w:val="en-US" w:eastAsia="zh-CN"/>
              </w:rPr>
            </w:pPr>
            <w:r>
              <w:rPr>
                <w:rFonts w:hint="eastAsia" w:ascii="宋体" w:hAnsi="宋体" w:eastAsia="宋体" w:cs="Times New Roman"/>
                <w:b w:val="0"/>
                <w:bCs w:val="0"/>
                <w:color w:val="auto"/>
                <w:kern w:val="0"/>
                <w:sz w:val="21"/>
                <w:szCs w:val="21"/>
                <w:highlight w:val="none"/>
                <w:lang w:val="en-US" w:eastAsia="zh-CN"/>
              </w:rPr>
              <w:t>六</w:t>
            </w:r>
          </w:p>
        </w:tc>
        <w:tc>
          <w:tcPr>
            <w:tcW w:w="3092" w:type="pct"/>
            <w:vAlign w:val="center"/>
          </w:tcPr>
          <w:p w14:paraId="143354C3">
            <w:pPr>
              <w:spacing w:line="360" w:lineRule="auto"/>
              <w:ind w:firstLine="0" w:firstLineChars="0"/>
              <w:rPr>
                <w:rFonts w:ascii="宋体" w:hAnsi="宋体" w:eastAsia="宋体"/>
                <w:b w:val="0"/>
                <w:bCs w:val="0"/>
                <w:color w:val="auto"/>
                <w:sz w:val="21"/>
                <w:szCs w:val="21"/>
                <w:highlight w:val="none"/>
              </w:rPr>
            </w:pPr>
            <w:r>
              <w:rPr>
                <w:rFonts w:hint="eastAsia" w:ascii="宋体" w:hAnsi="宋体" w:eastAsia="宋体" w:cs="宋体"/>
                <w:b/>
                <w:color w:val="auto"/>
                <w:szCs w:val="21"/>
                <w:highlight w:val="none"/>
                <w:u w:val="none"/>
              </w:rPr>
              <w:t>★</w:t>
            </w:r>
            <w:r>
              <w:rPr>
                <w:rFonts w:hint="eastAsia" w:ascii="宋体" w:hAnsi="宋体" w:eastAsia="宋体" w:cs="宋体"/>
                <w:b/>
                <w:color w:val="auto"/>
                <w:szCs w:val="21"/>
                <w:highlight w:val="none"/>
                <w:u w:val="none"/>
                <w:lang w:val="en-US" w:eastAsia="zh-CN"/>
              </w:rPr>
              <w:t>六</w:t>
            </w:r>
            <w:r>
              <w:rPr>
                <w:rFonts w:hint="eastAsia" w:ascii="宋体" w:hAnsi="宋体" w:eastAsia="宋体" w:cs="宋体"/>
                <w:b/>
                <w:bCs/>
                <w:snapToGrid w:val="0"/>
                <w:color w:val="auto"/>
                <w:spacing w:val="0"/>
                <w:kern w:val="0"/>
                <w:sz w:val="21"/>
                <w:szCs w:val="21"/>
                <w:highlight w:val="none"/>
                <w:lang w:val="en-US" w:eastAsia="en-US" w:bidi="ar-SA"/>
              </w:rPr>
              <w:t>、</w:t>
            </w:r>
            <w:r>
              <w:rPr>
                <w:rFonts w:hint="eastAsia" w:ascii="宋体" w:hAnsi="宋体" w:eastAsia="宋体" w:cs="宋体"/>
                <w:b/>
                <w:bCs/>
                <w:snapToGrid w:val="0"/>
                <w:color w:val="auto"/>
                <w:kern w:val="0"/>
                <w:szCs w:val="21"/>
                <w:highlight w:val="none"/>
                <w:lang w:val="en-US" w:eastAsia="en-US"/>
              </w:rPr>
              <w:t>如</w:t>
            </w:r>
            <w:r>
              <w:rPr>
                <w:rFonts w:hint="eastAsia" w:ascii="宋体" w:hAnsi="宋体" w:eastAsia="宋体" w:cs="宋体"/>
                <w:b/>
                <w:bCs/>
                <w:snapToGrid w:val="0"/>
                <w:color w:val="auto"/>
                <w:spacing w:val="0"/>
                <w:kern w:val="0"/>
                <w:sz w:val="21"/>
                <w:szCs w:val="21"/>
                <w:highlight w:val="none"/>
                <w:lang w:val="en-US" w:eastAsia="en-US" w:bidi="ar-SA"/>
              </w:rPr>
              <w:t>投标人</w:t>
            </w:r>
            <w:r>
              <w:rPr>
                <w:rFonts w:hint="eastAsia" w:ascii="宋体" w:hAnsi="宋体" w:eastAsia="宋体" w:cs="宋体"/>
                <w:b/>
                <w:bCs/>
                <w:snapToGrid w:val="0"/>
                <w:color w:val="auto"/>
                <w:spacing w:val="0"/>
                <w:kern w:val="0"/>
                <w:sz w:val="21"/>
                <w:szCs w:val="21"/>
                <w:highlight w:val="none"/>
                <w:lang w:val="en-US" w:eastAsia="zh-CN" w:bidi="ar-SA"/>
              </w:rPr>
              <w:t>在提交投标文件截止时间前在东莞市住房和城乡建设局完成企业信息档案登记（企业类型必须为：工程造价咨询机构），须提供东莞市住房和城乡建设局企业信息查询系统查询截图加盖投标人公章</w:t>
            </w:r>
            <w:r>
              <w:rPr>
                <w:rFonts w:hint="eastAsia" w:ascii="宋体" w:hAnsi="宋体" w:eastAsia="宋体" w:cs="宋体"/>
                <w:b/>
                <w:bCs/>
                <w:snapToGrid w:val="0"/>
                <w:color w:val="auto"/>
                <w:spacing w:val="0"/>
                <w:kern w:val="0"/>
                <w:sz w:val="21"/>
                <w:szCs w:val="21"/>
                <w:highlight w:val="none"/>
                <w:lang w:val="en-US" w:eastAsia="en-US" w:bidi="ar-SA"/>
              </w:rPr>
              <w:t>。若</w:t>
            </w:r>
            <w:r>
              <w:rPr>
                <w:rFonts w:hint="eastAsia" w:ascii="宋体" w:hAnsi="宋体" w:eastAsia="宋体" w:cs="宋体"/>
                <w:b/>
                <w:bCs/>
                <w:snapToGrid w:val="0"/>
                <w:color w:val="auto"/>
                <w:spacing w:val="0"/>
                <w:kern w:val="0"/>
                <w:sz w:val="21"/>
                <w:szCs w:val="21"/>
                <w:highlight w:val="none"/>
                <w:lang w:val="en-US" w:eastAsia="zh-CN" w:bidi="ar-SA"/>
              </w:rPr>
              <w:t>投标人在提交投标文件截止时间前</w:t>
            </w:r>
            <w:r>
              <w:rPr>
                <w:rFonts w:hint="eastAsia" w:ascii="宋体" w:hAnsi="宋体" w:eastAsia="宋体" w:cs="宋体"/>
                <w:b/>
                <w:bCs/>
                <w:snapToGrid w:val="0"/>
                <w:color w:val="auto"/>
                <w:spacing w:val="0"/>
                <w:kern w:val="0"/>
                <w:sz w:val="21"/>
                <w:szCs w:val="21"/>
                <w:highlight w:val="none"/>
                <w:lang w:val="en-US" w:eastAsia="en-US" w:bidi="ar-SA"/>
              </w:rPr>
              <w:t>尚未在</w:t>
            </w:r>
            <w:r>
              <w:rPr>
                <w:rFonts w:hint="eastAsia" w:ascii="宋体" w:hAnsi="宋体" w:eastAsia="宋体" w:cs="宋体"/>
                <w:b/>
                <w:bCs/>
                <w:snapToGrid w:val="0"/>
                <w:color w:val="auto"/>
                <w:spacing w:val="0"/>
                <w:kern w:val="0"/>
                <w:sz w:val="21"/>
                <w:szCs w:val="21"/>
                <w:highlight w:val="none"/>
                <w:lang w:val="en-US" w:eastAsia="zh-CN" w:bidi="ar-SA"/>
              </w:rPr>
              <w:t>东莞市住房和城乡建设局企业信息查询系统</w:t>
            </w:r>
            <w:r>
              <w:rPr>
                <w:rFonts w:hint="eastAsia" w:ascii="宋体" w:hAnsi="宋体" w:eastAsia="宋体" w:cs="宋体"/>
                <w:b/>
                <w:bCs/>
                <w:snapToGrid w:val="0"/>
                <w:color w:val="auto"/>
                <w:spacing w:val="0"/>
                <w:kern w:val="0"/>
                <w:sz w:val="21"/>
                <w:szCs w:val="21"/>
                <w:highlight w:val="none"/>
                <w:lang w:val="en-US" w:eastAsia="en-US" w:bidi="ar-SA"/>
              </w:rPr>
              <w:t>有本项目对应的企业类型</w:t>
            </w:r>
            <w:r>
              <w:rPr>
                <w:rFonts w:hint="eastAsia" w:ascii="宋体" w:hAnsi="宋体" w:eastAsia="宋体" w:cs="宋体"/>
                <w:b/>
                <w:bCs/>
                <w:snapToGrid w:val="0"/>
                <w:color w:val="auto"/>
                <w:spacing w:val="0"/>
                <w:kern w:val="0"/>
                <w:sz w:val="21"/>
                <w:szCs w:val="21"/>
                <w:highlight w:val="none"/>
                <w:lang w:val="en-US" w:eastAsia="zh-CN" w:bidi="ar-SA"/>
              </w:rPr>
              <w:t>（工程造价咨询机构）</w:t>
            </w:r>
            <w:r>
              <w:rPr>
                <w:rFonts w:hint="eastAsia" w:ascii="宋体" w:hAnsi="宋体" w:eastAsia="宋体" w:cs="宋体"/>
                <w:b/>
                <w:bCs/>
                <w:snapToGrid w:val="0"/>
                <w:color w:val="auto"/>
                <w:spacing w:val="0"/>
                <w:kern w:val="0"/>
                <w:sz w:val="21"/>
                <w:szCs w:val="21"/>
                <w:highlight w:val="none"/>
                <w:lang w:val="en-US" w:eastAsia="en-US" w:bidi="ar-SA"/>
              </w:rPr>
              <w:t>信用信息档案</w:t>
            </w:r>
            <w:r>
              <w:rPr>
                <w:rFonts w:hint="eastAsia" w:ascii="宋体" w:hAnsi="宋体" w:eastAsia="宋体" w:cs="宋体"/>
                <w:b/>
                <w:bCs/>
                <w:snapToGrid w:val="0"/>
                <w:color w:val="auto"/>
                <w:spacing w:val="0"/>
                <w:kern w:val="0"/>
                <w:sz w:val="21"/>
                <w:szCs w:val="21"/>
                <w:highlight w:val="none"/>
                <w:lang w:val="en-US" w:eastAsia="zh-CN" w:bidi="ar-SA"/>
              </w:rPr>
              <w:t>的，须承诺</w:t>
            </w:r>
            <w:r>
              <w:rPr>
                <w:rFonts w:hint="eastAsia" w:ascii="宋体" w:hAnsi="宋体" w:eastAsia="宋体" w:cs="宋体"/>
                <w:b/>
                <w:bCs/>
                <w:snapToGrid w:val="0"/>
                <w:color w:val="auto"/>
                <w:spacing w:val="0"/>
                <w:kern w:val="0"/>
                <w:sz w:val="21"/>
                <w:szCs w:val="21"/>
                <w:highlight w:val="none"/>
                <w:lang w:val="en-US" w:eastAsia="en-US" w:bidi="ar-SA"/>
              </w:rPr>
              <w:t>在中标后一个月内到</w:t>
            </w:r>
            <w:r>
              <w:rPr>
                <w:rFonts w:hint="eastAsia" w:ascii="宋体" w:hAnsi="宋体" w:eastAsia="宋体" w:cs="宋体"/>
                <w:b/>
                <w:bCs/>
                <w:snapToGrid w:val="0"/>
                <w:color w:val="auto"/>
                <w:spacing w:val="0"/>
                <w:kern w:val="0"/>
                <w:sz w:val="21"/>
                <w:szCs w:val="21"/>
                <w:highlight w:val="none"/>
                <w:lang w:val="en-US" w:eastAsia="zh-CN" w:bidi="ar-SA"/>
              </w:rPr>
              <w:t>东莞市住房和城乡建设局</w:t>
            </w:r>
            <w:r>
              <w:rPr>
                <w:rFonts w:hint="eastAsia" w:ascii="宋体" w:hAnsi="宋体" w:eastAsia="宋体" w:cs="宋体"/>
                <w:b/>
                <w:bCs/>
                <w:snapToGrid w:val="0"/>
                <w:color w:val="auto"/>
                <w:spacing w:val="0"/>
                <w:kern w:val="0"/>
                <w:sz w:val="21"/>
                <w:szCs w:val="21"/>
                <w:highlight w:val="none"/>
                <w:lang w:val="en-US" w:eastAsia="en-US" w:bidi="ar-SA"/>
              </w:rPr>
              <w:t>办理好本项目对应的企业类型</w:t>
            </w:r>
            <w:r>
              <w:rPr>
                <w:rFonts w:hint="eastAsia" w:ascii="宋体" w:hAnsi="宋体" w:eastAsia="宋体" w:cs="宋体"/>
                <w:b/>
                <w:bCs/>
                <w:snapToGrid w:val="0"/>
                <w:color w:val="auto"/>
                <w:spacing w:val="0"/>
                <w:kern w:val="0"/>
                <w:sz w:val="21"/>
                <w:szCs w:val="21"/>
                <w:highlight w:val="none"/>
                <w:lang w:val="en-US" w:eastAsia="zh-CN" w:bidi="ar-SA"/>
              </w:rPr>
              <w:t>（工程造价咨询机构）</w:t>
            </w:r>
            <w:r>
              <w:rPr>
                <w:rFonts w:hint="eastAsia" w:ascii="宋体" w:hAnsi="宋体" w:eastAsia="宋体" w:cs="宋体"/>
                <w:b/>
                <w:bCs/>
                <w:snapToGrid w:val="0"/>
                <w:color w:val="auto"/>
                <w:spacing w:val="0"/>
                <w:kern w:val="0"/>
                <w:sz w:val="21"/>
                <w:szCs w:val="21"/>
                <w:highlight w:val="none"/>
                <w:lang w:val="en-US" w:eastAsia="en-US" w:bidi="ar-SA"/>
              </w:rPr>
              <w:t>信用信息档案，否则视为放弃中标(</w:t>
            </w:r>
            <w:r>
              <w:rPr>
                <w:rFonts w:hint="eastAsia" w:ascii="宋体" w:hAnsi="宋体" w:eastAsia="宋体" w:cs="宋体"/>
                <w:b/>
                <w:bCs/>
                <w:snapToGrid w:val="0"/>
                <w:color w:val="auto"/>
                <w:spacing w:val="0"/>
                <w:kern w:val="0"/>
                <w:sz w:val="21"/>
                <w:szCs w:val="21"/>
                <w:highlight w:val="none"/>
                <w:lang w:val="en-US" w:eastAsia="zh-CN" w:bidi="ar-SA"/>
              </w:rPr>
              <w:t>注：</w:t>
            </w:r>
            <w:r>
              <w:rPr>
                <w:rFonts w:hint="eastAsia" w:ascii="宋体" w:hAnsi="宋体" w:eastAsia="宋体" w:cs="宋体"/>
                <w:b/>
                <w:bCs/>
                <w:snapToGrid w:val="0"/>
                <w:color w:val="auto"/>
                <w:spacing w:val="0"/>
                <w:kern w:val="0"/>
                <w:sz w:val="21"/>
                <w:szCs w:val="21"/>
                <w:highlight w:val="none"/>
                <w:lang w:val="en-US" w:eastAsia="en-US" w:bidi="ar-SA"/>
              </w:rPr>
              <w:t>须提供承诺函加盖投标人公章) 。</w:t>
            </w:r>
          </w:p>
        </w:tc>
        <w:tc>
          <w:tcPr>
            <w:tcW w:w="348" w:type="pct"/>
            <w:vAlign w:val="center"/>
          </w:tcPr>
          <w:p w14:paraId="502A5333">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418" w:type="pct"/>
            <w:vAlign w:val="center"/>
          </w:tcPr>
          <w:p w14:paraId="35B6721F">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391" w:type="pct"/>
            <w:vAlign w:val="center"/>
          </w:tcPr>
          <w:p w14:paraId="2C5E3F9C">
            <w:pPr>
              <w:keepNext/>
              <w:keepLines/>
              <w:spacing w:line="240" w:lineRule="auto"/>
              <w:jc w:val="center"/>
              <w:outlineLvl w:val="2"/>
              <w:rPr>
                <w:rFonts w:ascii="宋体" w:hAnsi="宋体" w:eastAsia="宋体" w:cs="宋体"/>
                <w:b w:val="0"/>
                <w:bCs w:val="0"/>
                <w:color w:val="auto"/>
                <w:kern w:val="0"/>
                <w:sz w:val="21"/>
                <w:szCs w:val="21"/>
                <w:highlight w:val="none"/>
              </w:rPr>
            </w:pPr>
          </w:p>
        </w:tc>
      </w:tr>
      <w:tr w14:paraId="1C45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9" w:type="pct"/>
            <w:vAlign w:val="center"/>
          </w:tcPr>
          <w:p w14:paraId="783652DB">
            <w:pPr>
              <w:spacing w:line="240" w:lineRule="auto"/>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459" w:type="pct"/>
            <w:vAlign w:val="center"/>
          </w:tcPr>
          <w:p w14:paraId="314B216D">
            <w:pPr>
              <w:spacing w:line="240" w:lineRule="auto"/>
              <w:jc w:val="center"/>
              <w:rPr>
                <w:rFonts w:hint="default" w:ascii="宋体" w:hAnsi="宋体" w:eastAsia="宋体" w:cs="Times New Roman"/>
                <w:b w:val="0"/>
                <w:bCs w:val="0"/>
                <w:color w:val="auto"/>
                <w:kern w:val="0"/>
                <w:sz w:val="21"/>
                <w:szCs w:val="21"/>
                <w:highlight w:val="none"/>
                <w:lang w:val="en-US" w:eastAsia="zh-CN"/>
              </w:rPr>
            </w:pPr>
            <w:r>
              <w:rPr>
                <w:rFonts w:hint="eastAsia" w:ascii="宋体" w:hAnsi="宋体" w:eastAsia="宋体" w:cs="Times New Roman"/>
                <w:b w:val="0"/>
                <w:bCs w:val="0"/>
                <w:color w:val="auto"/>
                <w:kern w:val="0"/>
                <w:sz w:val="21"/>
                <w:szCs w:val="21"/>
                <w:highlight w:val="none"/>
                <w:lang w:val="en-US" w:eastAsia="zh-CN"/>
              </w:rPr>
              <w:t>七</w:t>
            </w:r>
          </w:p>
        </w:tc>
        <w:tc>
          <w:tcPr>
            <w:tcW w:w="3092" w:type="pct"/>
            <w:vAlign w:val="center"/>
          </w:tcPr>
          <w:p w14:paraId="6553D205">
            <w:pPr>
              <w:spacing w:line="360" w:lineRule="auto"/>
              <w:ind w:firstLine="0" w:firstLineChars="0"/>
              <w:rPr>
                <w:rFonts w:ascii="宋体" w:hAnsi="宋体" w:eastAsia="宋体"/>
                <w:b w:val="0"/>
                <w:bCs w:val="0"/>
                <w:color w:val="auto"/>
                <w:sz w:val="21"/>
                <w:szCs w:val="21"/>
                <w:highlight w:val="none"/>
              </w:rPr>
            </w:pPr>
            <w:r>
              <w:rPr>
                <w:rFonts w:hint="eastAsia" w:ascii="宋体" w:hAnsi="宋体" w:eastAsia="宋体" w:cs="宋体"/>
                <w:b/>
                <w:color w:val="auto"/>
                <w:szCs w:val="21"/>
                <w:highlight w:val="none"/>
                <w:u w:val="none"/>
              </w:rPr>
              <w:t>★</w:t>
            </w:r>
            <w:r>
              <w:rPr>
                <w:rFonts w:hint="eastAsia" w:ascii="宋体" w:hAnsi="宋体" w:eastAsia="宋体" w:cs="宋体"/>
                <w:b/>
                <w:bCs/>
                <w:snapToGrid w:val="0"/>
                <w:color w:val="auto"/>
                <w:spacing w:val="0"/>
                <w:kern w:val="0"/>
                <w:sz w:val="21"/>
                <w:szCs w:val="21"/>
                <w:highlight w:val="none"/>
                <w:lang w:val="en-US" w:eastAsia="zh-CN" w:bidi="ar-SA"/>
              </w:rPr>
              <w:t>七、</w:t>
            </w:r>
            <w:r>
              <w:rPr>
                <w:rFonts w:hint="eastAsia" w:ascii="宋体" w:hAnsi="宋体" w:eastAsia="宋体" w:cs="宋体"/>
                <w:b/>
                <w:bCs/>
                <w:snapToGrid w:val="0"/>
                <w:color w:val="auto"/>
                <w:spacing w:val="0"/>
                <w:kern w:val="0"/>
                <w:sz w:val="21"/>
                <w:szCs w:val="21"/>
                <w:highlight w:val="none"/>
                <w:lang w:val="en-US" w:eastAsia="en-US" w:bidi="ar-SA"/>
              </w:rPr>
              <w:t>招标结果公示期间，招标人有权核查中标候选人办公场所、设备以及拟投入服务人员情况，如与造价咨询服务单位投标文件不相符，招标人有权取消其中标资格，并根据评标委员会推荐顺序确定其他中标人(</w:t>
            </w:r>
            <w:r>
              <w:rPr>
                <w:rFonts w:hint="eastAsia" w:ascii="宋体" w:hAnsi="宋体" w:eastAsia="宋体" w:cs="宋体"/>
                <w:b/>
                <w:bCs/>
                <w:snapToGrid w:val="0"/>
                <w:color w:val="auto"/>
                <w:spacing w:val="0"/>
                <w:kern w:val="0"/>
                <w:sz w:val="21"/>
                <w:szCs w:val="21"/>
                <w:highlight w:val="none"/>
                <w:lang w:val="en-US" w:eastAsia="zh-CN" w:bidi="ar-SA"/>
              </w:rPr>
              <w:t>注：</w:t>
            </w:r>
            <w:r>
              <w:rPr>
                <w:rFonts w:hint="eastAsia" w:ascii="宋体" w:hAnsi="宋体" w:eastAsia="宋体" w:cs="宋体"/>
                <w:b/>
                <w:bCs/>
                <w:snapToGrid w:val="0"/>
                <w:color w:val="auto"/>
                <w:spacing w:val="0"/>
                <w:kern w:val="0"/>
                <w:sz w:val="21"/>
                <w:szCs w:val="21"/>
                <w:highlight w:val="none"/>
                <w:lang w:val="en-US" w:eastAsia="en-US" w:bidi="ar-SA"/>
              </w:rPr>
              <w:t>须提供承诺函加盖投标人公章)</w:t>
            </w:r>
            <w:r>
              <w:rPr>
                <w:rFonts w:hint="eastAsia" w:ascii="宋体" w:hAnsi="宋体" w:eastAsia="宋体" w:cs="宋体"/>
                <w:b/>
                <w:bCs/>
                <w:snapToGrid w:val="0"/>
                <w:color w:val="auto"/>
                <w:spacing w:val="0"/>
                <w:kern w:val="0"/>
                <w:sz w:val="21"/>
                <w:szCs w:val="21"/>
                <w:highlight w:val="none"/>
                <w:lang w:val="en-US" w:eastAsia="zh-CN" w:bidi="ar-SA"/>
              </w:rPr>
              <w:t>。</w:t>
            </w:r>
          </w:p>
        </w:tc>
        <w:tc>
          <w:tcPr>
            <w:tcW w:w="348" w:type="pct"/>
            <w:vAlign w:val="center"/>
          </w:tcPr>
          <w:p w14:paraId="57F7B712">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418" w:type="pct"/>
            <w:vAlign w:val="center"/>
          </w:tcPr>
          <w:p w14:paraId="49D9E1A8">
            <w:pPr>
              <w:keepNext/>
              <w:keepLines/>
              <w:spacing w:line="240" w:lineRule="auto"/>
              <w:jc w:val="center"/>
              <w:outlineLvl w:val="2"/>
              <w:rPr>
                <w:rFonts w:ascii="宋体" w:hAnsi="宋体" w:eastAsia="宋体" w:cs="宋体"/>
                <w:b w:val="0"/>
                <w:bCs w:val="0"/>
                <w:color w:val="auto"/>
                <w:kern w:val="0"/>
                <w:sz w:val="21"/>
                <w:szCs w:val="21"/>
                <w:highlight w:val="none"/>
              </w:rPr>
            </w:pPr>
          </w:p>
        </w:tc>
        <w:tc>
          <w:tcPr>
            <w:tcW w:w="391" w:type="pct"/>
            <w:vAlign w:val="center"/>
          </w:tcPr>
          <w:p w14:paraId="7B18CC83">
            <w:pPr>
              <w:keepNext/>
              <w:keepLines/>
              <w:spacing w:line="240" w:lineRule="auto"/>
              <w:jc w:val="center"/>
              <w:outlineLvl w:val="2"/>
              <w:rPr>
                <w:rFonts w:ascii="宋体" w:hAnsi="宋体" w:eastAsia="宋体" w:cs="宋体"/>
                <w:b w:val="0"/>
                <w:bCs w:val="0"/>
                <w:color w:val="auto"/>
                <w:kern w:val="0"/>
                <w:sz w:val="21"/>
                <w:szCs w:val="21"/>
                <w:highlight w:val="none"/>
              </w:rPr>
            </w:pPr>
          </w:p>
        </w:tc>
      </w:tr>
    </w:tbl>
    <w:p w14:paraId="7D2F291B">
      <w:pPr>
        <w:spacing w:line="360" w:lineRule="auto"/>
        <w:rPr>
          <w:rFonts w:ascii="宋体" w:hAnsi="宋体" w:eastAsia="宋体" w:cs="宋体"/>
          <w:color w:val="auto"/>
          <w:szCs w:val="21"/>
          <w:highlight w:val="none"/>
        </w:rPr>
      </w:pPr>
    </w:p>
    <w:p w14:paraId="710CF2C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DDCB4D3">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7EA8CBE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BAF4FA3">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51E51B8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0307C4A1">
      <w:pPr>
        <w:spacing w:line="360" w:lineRule="auto"/>
        <w:rPr>
          <w:rFonts w:ascii="宋体" w:hAnsi="宋体" w:eastAsia="宋体" w:cs="宋体"/>
          <w:color w:val="auto"/>
          <w:szCs w:val="21"/>
          <w:highlight w:val="none"/>
        </w:rPr>
      </w:pPr>
    </w:p>
    <w:p w14:paraId="780BB16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68A6BD5C">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3F480D3A">
      <w:pPr>
        <w:tabs>
          <w:tab w:val="left" w:pos="567"/>
        </w:tabs>
        <w:autoSpaceDE w:val="0"/>
        <w:autoSpaceDN w:val="0"/>
        <w:adjustRightInd w:val="0"/>
        <w:spacing w:line="360" w:lineRule="auto"/>
        <w:jc w:val="left"/>
        <w:outlineLvl w:val="2"/>
        <w:rPr>
          <w:rFonts w:hint="eastAsia" w:ascii="宋体" w:hAnsi="宋体" w:eastAsia="宋体" w:cs="Times New Roman"/>
          <w:b/>
          <w:color w:val="auto"/>
          <w:kern w:val="0"/>
          <w:sz w:val="30"/>
          <w:szCs w:val="30"/>
          <w:highlight w:val="none"/>
          <w:lang w:eastAsia="zh-CN"/>
        </w:rPr>
      </w:pPr>
      <w:r>
        <w:rPr>
          <w:rFonts w:hint="eastAsia" w:ascii="宋体" w:hAnsi="宋体" w:eastAsia="宋体" w:cs="宋体"/>
          <w:b/>
          <w:color w:val="auto"/>
          <w:kern w:val="0"/>
          <w:sz w:val="30"/>
          <w:szCs w:val="30"/>
          <w:highlight w:val="none"/>
        </w:rPr>
        <w:br w:type="page"/>
      </w:r>
      <w:bookmarkStart w:id="713" w:name="_Toc102860431"/>
      <w:bookmarkStart w:id="714" w:name="_Toc142508382"/>
      <w:bookmarkStart w:id="715" w:name="_Toc104991889"/>
      <w:bookmarkStart w:id="716" w:name="_Toc140596942"/>
      <w:bookmarkStart w:id="717" w:name="_Toc3593"/>
      <w:bookmarkStart w:id="718" w:name="_Toc5046"/>
      <w:bookmarkStart w:id="719" w:name="_Toc23150"/>
      <w:bookmarkStart w:id="720" w:name="_Toc102860087"/>
      <w:bookmarkStart w:id="721" w:name="_Toc94107224"/>
      <w:bookmarkStart w:id="722" w:name="_Toc15085"/>
      <w:bookmarkStart w:id="723" w:name="_Toc1005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13"/>
      <w:bookmarkEnd w:id="714"/>
      <w:bookmarkEnd w:id="715"/>
      <w:bookmarkEnd w:id="716"/>
      <w:bookmarkEnd w:id="717"/>
      <w:bookmarkEnd w:id="718"/>
      <w:bookmarkEnd w:id="719"/>
      <w:bookmarkEnd w:id="720"/>
      <w:bookmarkEnd w:id="721"/>
      <w:bookmarkEnd w:id="722"/>
      <w:r>
        <w:rPr>
          <w:rFonts w:hint="eastAsia" w:ascii="宋体" w:hAnsi="宋体" w:eastAsia="宋体" w:cs="宋体"/>
          <w:b/>
          <w:color w:val="auto"/>
          <w:kern w:val="0"/>
          <w:sz w:val="30"/>
          <w:szCs w:val="30"/>
          <w:highlight w:val="none"/>
        </w:rPr>
        <w:t>组织管理及工作流程</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lang w:val="en-US" w:eastAsia="zh-CN"/>
        </w:rPr>
        <w:t>投标人自行编写</w:t>
      </w:r>
      <w:r>
        <w:rPr>
          <w:rFonts w:hint="eastAsia" w:ascii="宋体" w:hAnsi="宋体" w:eastAsia="宋体" w:cs="宋体"/>
          <w:b/>
          <w:color w:val="auto"/>
          <w:kern w:val="0"/>
          <w:sz w:val="30"/>
          <w:szCs w:val="30"/>
          <w:highlight w:val="none"/>
          <w:lang w:eastAsia="zh-CN"/>
        </w:rPr>
        <w:t>）</w:t>
      </w:r>
      <w:bookmarkEnd w:id="723"/>
    </w:p>
    <w:p w14:paraId="216DD73D">
      <w:pPr>
        <w:widowControl/>
        <w:jc w:val="left"/>
        <w:rPr>
          <w:rFonts w:ascii="宋体" w:hAnsi="宋体" w:eastAsia="宋体" w:cs="Times New Roman"/>
          <w:color w:val="auto"/>
          <w:kern w:val="0"/>
          <w:szCs w:val="21"/>
          <w:highlight w:val="none"/>
        </w:rPr>
      </w:pPr>
      <w:bookmarkStart w:id="724" w:name="_Toc94107225"/>
      <w:r>
        <w:rPr>
          <w:rFonts w:ascii="宋体" w:hAnsi="宋体" w:eastAsia="宋体" w:cs="Times New Roman"/>
          <w:color w:val="auto"/>
          <w:kern w:val="0"/>
          <w:szCs w:val="21"/>
          <w:highlight w:val="none"/>
        </w:rPr>
        <w:br w:type="page"/>
      </w:r>
    </w:p>
    <w:bookmarkEnd w:id="724"/>
    <w:p w14:paraId="148B7B39">
      <w:pPr>
        <w:outlineLvl w:val="2"/>
        <w:rPr>
          <w:rFonts w:hint="eastAsia" w:ascii="宋体" w:hAnsi="宋体" w:eastAsia="宋体" w:cs="宋体"/>
          <w:b/>
          <w:color w:val="auto"/>
          <w:kern w:val="0"/>
          <w:sz w:val="30"/>
          <w:szCs w:val="30"/>
          <w:highlight w:val="none"/>
          <w:lang w:val="en-US" w:eastAsia="zh-CN"/>
        </w:rPr>
      </w:pPr>
      <w:bookmarkStart w:id="725" w:name="_Toc7371"/>
      <w:bookmarkStart w:id="726" w:name="_Toc27592"/>
      <w:bookmarkStart w:id="727" w:name="_Toc102860094"/>
      <w:bookmarkStart w:id="728" w:name="_Toc140596949"/>
      <w:bookmarkStart w:id="729" w:name="_Toc102860438"/>
      <w:bookmarkStart w:id="730" w:name="_Toc104991896"/>
      <w:bookmarkStart w:id="731" w:name="_Toc142508389"/>
      <w:bookmarkStart w:id="732" w:name="_Toc533708139"/>
      <w:r>
        <w:rPr>
          <w:rFonts w:hint="eastAsia" w:ascii="宋体" w:hAnsi="宋体" w:eastAsia="宋体" w:cs="宋体"/>
          <w:b/>
          <w:color w:val="auto"/>
          <w:kern w:val="0"/>
          <w:sz w:val="30"/>
          <w:szCs w:val="30"/>
          <w:highlight w:val="none"/>
          <w:lang w:val="en-US" w:eastAsia="zh-CN"/>
        </w:rPr>
        <w:t>13.3 进度保障</w:t>
      </w:r>
      <w:r>
        <w:rPr>
          <w:rFonts w:hint="eastAsia" w:ascii="宋体" w:hAnsi="宋体" w:eastAsia="宋体" w:cs="宋体"/>
          <w:b/>
          <w:color w:val="auto"/>
          <w:kern w:val="0"/>
          <w:sz w:val="30"/>
          <w:szCs w:val="30"/>
          <w:highlight w:val="none"/>
        </w:rPr>
        <w:t>（投标人自行编写）</w:t>
      </w:r>
      <w:r>
        <w:rPr>
          <w:rFonts w:hint="eastAsia" w:ascii="宋体" w:hAnsi="宋体" w:eastAsia="宋体" w:cs="宋体"/>
          <w:b/>
          <w:color w:val="auto"/>
          <w:kern w:val="0"/>
          <w:sz w:val="30"/>
          <w:szCs w:val="30"/>
          <w:highlight w:val="none"/>
          <w:lang w:val="en-US" w:eastAsia="zh-CN"/>
        </w:rPr>
        <w:br w:type="page"/>
      </w:r>
      <w:bookmarkEnd w:id="725"/>
      <w:bookmarkEnd w:id="726"/>
    </w:p>
    <w:p w14:paraId="12D99825">
      <w:pPr>
        <w:outlineLvl w:val="2"/>
        <w:rPr>
          <w:rFonts w:hint="eastAsia" w:ascii="宋体" w:hAnsi="宋体" w:eastAsia="宋体" w:cs="宋体"/>
          <w:b/>
          <w:color w:val="auto"/>
          <w:kern w:val="0"/>
          <w:sz w:val="30"/>
          <w:szCs w:val="30"/>
          <w:highlight w:val="none"/>
          <w:lang w:val="en-US" w:eastAsia="zh-CN"/>
        </w:rPr>
      </w:pPr>
      <w:bookmarkStart w:id="733" w:name="_Toc30697"/>
      <w:bookmarkStart w:id="734" w:name="_Toc16842"/>
      <w:r>
        <w:rPr>
          <w:rFonts w:hint="eastAsia" w:ascii="宋体" w:hAnsi="宋体" w:eastAsia="宋体" w:cs="宋体"/>
          <w:b/>
          <w:color w:val="auto"/>
          <w:kern w:val="0"/>
          <w:sz w:val="30"/>
          <w:szCs w:val="30"/>
          <w:highlight w:val="none"/>
          <w:lang w:val="en-US" w:eastAsia="zh-CN"/>
        </w:rPr>
        <w:t>13.4 质量跟踪及信息反馈机制</w:t>
      </w:r>
      <w:r>
        <w:rPr>
          <w:rFonts w:hint="eastAsia" w:ascii="宋体" w:hAnsi="宋体" w:eastAsia="宋体" w:cs="宋体"/>
          <w:b/>
          <w:color w:val="auto"/>
          <w:kern w:val="0"/>
          <w:sz w:val="30"/>
          <w:szCs w:val="30"/>
          <w:highlight w:val="none"/>
        </w:rPr>
        <w:t>（投标人自行编写）</w:t>
      </w:r>
      <w:r>
        <w:rPr>
          <w:rFonts w:hint="eastAsia" w:ascii="宋体" w:hAnsi="宋体" w:eastAsia="宋体" w:cs="宋体"/>
          <w:b/>
          <w:color w:val="auto"/>
          <w:kern w:val="0"/>
          <w:sz w:val="30"/>
          <w:szCs w:val="30"/>
          <w:highlight w:val="none"/>
          <w:lang w:val="en-US" w:eastAsia="zh-CN"/>
        </w:rPr>
        <w:br w:type="page"/>
      </w:r>
      <w:bookmarkEnd w:id="733"/>
      <w:bookmarkEnd w:id="734"/>
    </w:p>
    <w:p w14:paraId="5117E5AC">
      <w:pPr>
        <w:keepNext w:val="0"/>
        <w:keepLines w:val="0"/>
        <w:pageBreakBefore/>
        <w:widowControl w:val="0"/>
        <w:kinsoku/>
        <w:wordWrap/>
        <w:overflowPunct/>
        <w:topLinePunct w:val="0"/>
        <w:autoSpaceDE/>
        <w:autoSpaceDN/>
        <w:bidi w:val="0"/>
        <w:adjustRightInd/>
        <w:snapToGrid/>
        <w:textAlignment w:val="auto"/>
        <w:outlineLvl w:val="2"/>
        <w:rPr>
          <w:rFonts w:hint="eastAsia" w:ascii="宋体" w:hAnsi="宋体" w:eastAsia="宋体" w:cs="宋体"/>
          <w:b/>
          <w:color w:val="auto"/>
          <w:kern w:val="0"/>
          <w:sz w:val="30"/>
          <w:szCs w:val="30"/>
          <w:highlight w:val="none"/>
          <w:lang w:val="en-US" w:eastAsia="zh-CN"/>
        </w:rPr>
      </w:pPr>
      <w:bookmarkStart w:id="735" w:name="_Toc21939"/>
      <w:bookmarkStart w:id="736" w:name="_Toc11355"/>
      <w:bookmarkStart w:id="737" w:name="_Toc3750"/>
      <w:bookmarkStart w:id="738" w:name="_Toc18180"/>
      <w:bookmarkStart w:id="739" w:name="_Toc30545"/>
      <w:r>
        <w:rPr>
          <w:rFonts w:hint="eastAsia" w:ascii="宋体" w:hAnsi="宋体" w:eastAsia="宋体" w:cs="宋体"/>
          <w:b/>
          <w:color w:val="auto"/>
          <w:kern w:val="0"/>
          <w:sz w:val="30"/>
          <w:szCs w:val="30"/>
          <w:highlight w:val="none"/>
          <w:lang w:val="en-US" w:eastAsia="zh-CN"/>
        </w:rPr>
        <w:t xml:space="preserve">13.5 </w:t>
      </w:r>
      <w:bookmarkEnd w:id="735"/>
      <w:r>
        <w:rPr>
          <w:rFonts w:hint="eastAsia" w:ascii="宋体" w:hAnsi="宋体" w:eastAsia="宋体" w:cs="宋体"/>
          <w:b/>
          <w:color w:val="auto"/>
          <w:kern w:val="0"/>
          <w:sz w:val="30"/>
          <w:szCs w:val="30"/>
          <w:highlight w:val="none"/>
          <w:lang w:val="en-US" w:eastAsia="zh-CN"/>
        </w:rPr>
        <w:t>质量保证措施</w:t>
      </w:r>
      <w:r>
        <w:rPr>
          <w:rFonts w:hint="eastAsia" w:ascii="宋体" w:hAnsi="宋体" w:eastAsia="宋体" w:cs="宋体"/>
          <w:b/>
          <w:color w:val="auto"/>
          <w:kern w:val="0"/>
          <w:sz w:val="30"/>
          <w:szCs w:val="30"/>
          <w:highlight w:val="none"/>
        </w:rPr>
        <w:t>（投标人自行编写）</w:t>
      </w:r>
      <w:bookmarkEnd w:id="736"/>
    </w:p>
    <w:p w14:paraId="714E4D5D">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05D22A1">
      <w:pPr>
        <w:keepNext w:val="0"/>
        <w:keepLines w:val="0"/>
        <w:pageBreakBefore/>
        <w:widowControl w:val="0"/>
        <w:kinsoku/>
        <w:wordWrap/>
        <w:overflowPunct/>
        <w:topLinePunct w:val="0"/>
        <w:autoSpaceDE/>
        <w:autoSpaceDN/>
        <w:bidi w:val="0"/>
        <w:adjustRightInd/>
        <w:snapToGrid/>
        <w:textAlignment w:val="auto"/>
        <w:outlineLvl w:val="2"/>
        <w:rPr>
          <w:rFonts w:hint="eastAsia" w:ascii="宋体" w:hAnsi="宋体" w:eastAsia="宋体" w:cs="宋体"/>
          <w:b/>
          <w:color w:val="auto"/>
          <w:kern w:val="0"/>
          <w:sz w:val="30"/>
          <w:szCs w:val="30"/>
          <w:highlight w:val="none"/>
          <w:lang w:val="en-US" w:eastAsia="zh-CN"/>
        </w:rPr>
      </w:pPr>
      <w:bookmarkStart w:id="740" w:name="_Toc10552"/>
      <w:bookmarkStart w:id="741" w:name="_Toc4978"/>
      <w:r>
        <w:rPr>
          <w:rFonts w:hint="eastAsia" w:ascii="宋体" w:hAnsi="宋体" w:eastAsia="宋体" w:cs="宋体"/>
          <w:b/>
          <w:color w:val="auto"/>
          <w:kern w:val="0"/>
          <w:sz w:val="30"/>
          <w:szCs w:val="30"/>
          <w:highlight w:val="none"/>
          <w:lang w:val="en-US" w:eastAsia="zh-CN"/>
        </w:rPr>
        <w:t>13.6 拟投入服务人员情况</w:t>
      </w:r>
      <w:bookmarkEnd w:id="740"/>
      <w:bookmarkEnd w:id="741"/>
    </w:p>
    <w:p w14:paraId="2ECE7CF3">
      <w:pPr>
        <w:spacing w:before="240" w:beforeLines="10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拟</w:t>
      </w:r>
      <w:r>
        <w:rPr>
          <w:rFonts w:hint="eastAsia" w:ascii="宋体" w:hAnsi="宋体" w:eastAsia="宋体" w:cs="宋体"/>
          <w:b/>
          <w:color w:val="auto"/>
          <w:sz w:val="30"/>
          <w:szCs w:val="30"/>
          <w:highlight w:val="none"/>
        </w:rPr>
        <w:t>投入服务人员情况表</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74"/>
        <w:gridCol w:w="737"/>
        <w:gridCol w:w="737"/>
        <w:gridCol w:w="737"/>
        <w:gridCol w:w="1840"/>
        <w:gridCol w:w="1606"/>
        <w:gridCol w:w="1697"/>
        <w:gridCol w:w="1031"/>
      </w:tblGrid>
      <w:tr w14:paraId="1374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0" w:type="pct"/>
            <w:vAlign w:val="center"/>
          </w:tcPr>
          <w:p w14:paraId="445161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14" w:type="pct"/>
            <w:vAlign w:val="center"/>
          </w:tcPr>
          <w:p w14:paraId="7834EB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55" w:type="pct"/>
            <w:vAlign w:val="center"/>
          </w:tcPr>
          <w:p w14:paraId="3FE811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355" w:type="pct"/>
            <w:vAlign w:val="center"/>
          </w:tcPr>
          <w:p w14:paraId="36C405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355" w:type="pct"/>
            <w:vAlign w:val="center"/>
          </w:tcPr>
          <w:p w14:paraId="6315C1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887" w:type="pct"/>
            <w:vAlign w:val="center"/>
          </w:tcPr>
          <w:p w14:paraId="216935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资格/职称证书</w:t>
            </w:r>
          </w:p>
        </w:tc>
        <w:tc>
          <w:tcPr>
            <w:tcW w:w="774" w:type="pct"/>
            <w:vAlign w:val="center"/>
          </w:tcPr>
          <w:p w14:paraId="516F12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本项目担任职务</w:t>
            </w:r>
          </w:p>
        </w:tc>
        <w:tc>
          <w:tcPr>
            <w:tcW w:w="818" w:type="pct"/>
            <w:vAlign w:val="center"/>
          </w:tcPr>
          <w:p w14:paraId="3BE3E2A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497" w:type="pct"/>
            <w:vAlign w:val="center"/>
          </w:tcPr>
          <w:p w14:paraId="39A1792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备注</w:t>
            </w:r>
          </w:p>
        </w:tc>
      </w:tr>
      <w:tr w14:paraId="61C8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0" w:type="pct"/>
            <w:vAlign w:val="center"/>
          </w:tcPr>
          <w:p w14:paraId="2FB5D8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4" w:type="pct"/>
            <w:vAlign w:val="center"/>
          </w:tcPr>
          <w:p w14:paraId="50AC60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1A1F56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686FE0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21E24B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87" w:type="pct"/>
            <w:vAlign w:val="center"/>
          </w:tcPr>
          <w:p w14:paraId="23F61E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74" w:type="pct"/>
            <w:vAlign w:val="center"/>
          </w:tcPr>
          <w:p w14:paraId="3466F9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18" w:type="pct"/>
            <w:vAlign w:val="center"/>
          </w:tcPr>
          <w:p w14:paraId="109650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7" w:type="pct"/>
            <w:vAlign w:val="center"/>
          </w:tcPr>
          <w:p w14:paraId="19B4AB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E57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0" w:type="pct"/>
            <w:vAlign w:val="center"/>
          </w:tcPr>
          <w:p w14:paraId="63CEC0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4" w:type="pct"/>
            <w:vAlign w:val="center"/>
          </w:tcPr>
          <w:p w14:paraId="7EDDA2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42B2A6B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435161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031B1C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87" w:type="pct"/>
            <w:vAlign w:val="center"/>
          </w:tcPr>
          <w:p w14:paraId="342EE6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74" w:type="pct"/>
            <w:vAlign w:val="center"/>
          </w:tcPr>
          <w:p w14:paraId="22D500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18" w:type="pct"/>
            <w:vAlign w:val="center"/>
          </w:tcPr>
          <w:p w14:paraId="548B51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7" w:type="pct"/>
            <w:vAlign w:val="center"/>
          </w:tcPr>
          <w:p w14:paraId="032CE2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771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14:paraId="174C43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4" w:type="pct"/>
            <w:vAlign w:val="center"/>
          </w:tcPr>
          <w:p w14:paraId="04075B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78445EB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2DFE6E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29C166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87" w:type="pct"/>
            <w:vAlign w:val="center"/>
          </w:tcPr>
          <w:p w14:paraId="046C19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74" w:type="pct"/>
            <w:vAlign w:val="center"/>
          </w:tcPr>
          <w:p w14:paraId="6965D4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18" w:type="pct"/>
            <w:vAlign w:val="center"/>
          </w:tcPr>
          <w:p w14:paraId="7ECD88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7" w:type="pct"/>
            <w:vAlign w:val="center"/>
          </w:tcPr>
          <w:p w14:paraId="19A94E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08E7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14:paraId="79FD86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4" w:type="pct"/>
            <w:vAlign w:val="center"/>
          </w:tcPr>
          <w:p w14:paraId="3F04CE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62067C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00B77E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52084C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87" w:type="pct"/>
            <w:vAlign w:val="center"/>
          </w:tcPr>
          <w:p w14:paraId="258227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74" w:type="pct"/>
            <w:vAlign w:val="center"/>
          </w:tcPr>
          <w:p w14:paraId="134D84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18" w:type="pct"/>
            <w:vAlign w:val="center"/>
          </w:tcPr>
          <w:p w14:paraId="3FEF60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7" w:type="pct"/>
            <w:vAlign w:val="center"/>
          </w:tcPr>
          <w:p w14:paraId="621EB6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11E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14:paraId="2F516A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4" w:type="pct"/>
            <w:vAlign w:val="center"/>
          </w:tcPr>
          <w:p w14:paraId="11600F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560883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473BBC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0C770E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87" w:type="pct"/>
            <w:vAlign w:val="center"/>
          </w:tcPr>
          <w:p w14:paraId="31044A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74" w:type="pct"/>
            <w:vAlign w:val="center"/>
          </w:tcPr>
          <w:p w14:paraId="1A76F7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18" w:type="pct"/>
            <w:vAlign w:val="center"/>
          </w:tcPr>
          <w:p w14:paraId="458535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7" w:type="pct"/>
            <w:vAlign w:val="center"/>
          </w:tcPr>
          <w:p w14:paraId="333AFF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ADC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14:paraId="0CE190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4" w:type="pct"/>
            <w:vAlign w:val="center"/>
          </w:tcPr>
          <w:p w14:paraId="31AD30A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539F60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7FEA39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6708D3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87" w:type="pct"/>
            <w:vAlign w:val="center"/>
          </w:tcPr>
          <w:p w14:paraId="2ADBF21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74" w:type="pct"/>
            <w:vAlign w:val="center"/>
          </w:tcPr>
          <w:p w14:paraId="1A5F75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18" w:type="pct"/>
            <w:vAlign w:val="center"/>
          </w:tcPr>
          <w:p w14:paraId="0F0D22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7" w:type="pct"/>
            <w:vAlign w:val="center"/>
          </w:tcPr>
          <w:p w14:paraId="50E1C9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130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vAlign w:val="center"/>
          </w:tcPr>
          <w:p w14:paraId="05C4D1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4" w:type="pct"/>
            <w:vAlign w:val="center"/>
          </w:tcPr>
          <w:p w14:paraId="50498B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30D34A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3AA3CD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5C78F1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87" w:type="pct"/>
            <w:vAlign w:val="center"/>
          </w:tcPr>
          <w:p w14:paraId="4AA9FE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74" w:type="pct"/>
            <w:vAlign w:val="center"/>
          </w:tcPr>
          <w:p w14:paraId="4BABDD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18" w:type="pct"/>
            <w:vAlign w:val="center"/>
          </w:tcPr>
          <w:p w14:paraId="442FFB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7" w:type="pct"/>
            <w:vAlign w:val="center"/>
          </w:tcPr>
          <w:p w14:paraId="2D42AC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9FE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0" w:type="pct"/>
            <w:vAlign w:val="center"/>
          </w:tcPr>
          <w:p w14:paraId="1A4D77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4" w:type="pct"/>
            <w:vAlign w:val="center"/>
          </w:tcPr>
          <w:p w14:paraId="47EC36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0B82BA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7A8C6A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243738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87" w:type="pct"/>
            <w:vAlign w:val="center"/>
          </w:tcPr>
          <w:p w14:paraId="7B9051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74" w:type="pct"/>
            <w:vAlign w:val="center"/>
          </w:tcPr>
          <w:p w14:paraId="1F3958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18" w:type="pct"/>
            <w:vAlign w:val="center"/>
          </w:tcPr>
          <w:p w14:paraId="34842A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7" w:type="pct"/>
            <w:vAlign w:val="center"/>
          </w:tcPr>
          <w:p w14:paraId="2E0FE9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F3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0" w:type="pct"/>
            <w:vAlign w:val="center"/>
          </w:tcPr>
          <w:p w14:paraId="5A5DA9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4" w:type="pct"/>
            <w:vAlign w:val="center"/>
          </w:tcPr>
          <w:p w14:paraId="72BD17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21BBE5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1A5B13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0FB184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87" w:type="pct"/>
            <w:vAlign w:val="center"/>
          </w:tcPr>
          <w:p w14:paraId="64DF75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74" w:type="pct"/>
            <w:vAlign w:val="center"/>
          </w:tcPr>
          <w:p w14:paraId="5C626C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18" w:type="pct"/>
            <w:vAlign w:val="center"/>
          </w:tcPr>
          <w:p w14:paraId="095BF2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7" w:type="pct"/>
            <w:vAlign w:val="center"/>
          </w:tcPr>
          <w:p w14:paraId="2DE606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C97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0" w:type="pct"/>
            <w:vAlign w:val="center"/>
          </w:tcPr>
          <w:p w14:paraId="2A7FC6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14" w:type="pct"/>
            <w:vAlign w:val="center"/>
          </w:tcPr>
          <w:p w14:paraId="5A8BAE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0FF79C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31ACAE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55" w:type="pct"/>
            <w:vAlign w:val="center"/>
          </w:tcPr>
          <w:p w14:paraId="5D53AA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87" w:type="pct"/>
            <w:vAlign w:val="center"/>
          </w:tcPr>
          <w:p w14:paraId="199300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74" w:type="pct"/>
            <w:vAlign w:val="center"/>
          </w:tcPr>
          <w:p w14:paraId="6D0E7D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18" w:type="pct"/>
            <w:vAlign w:val="center"/>
          </w:tcPr>
          <w:p w14:paraId="03CD6A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497" w:type="pct"/>
            <w:vAlign w:val="center"/>
          </w:tcPr>
          <w:p w14:paraId="558106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38132882">
      <w:pPr>
        <w:spacing w:line="360" w:lineRule="auto"/>
        <w:rPr>
          <w:rFonts w:hint="eastAsia" w:ascii="宋体" w:hAnsi="宋体" w:eastAsia="宋体" w:cs="宋体"/>
          <w:color w:val="auto"/>
          <w:sz w:val="21"/>
          <w:szCs w:val="21"/>
          <w:highlight w:val="none"/>
        </w:rPr>
      </w:pPr>
    </w:p>
    <w:p w14:paraId="16A2BF26">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注：以上人员须提供</w:t>
      </w:r>
      <w:r>
        <w:rPr>
          <w:rFonts w:hint="eastAsia" w:ascii="宋体" w:hAnsi="宋体" w:eastAsia="宋体" w:cs="宋体"/>
          <w:b/>
          <w:bCs/>
          <w:color w:val="auto"/>
          <w:sz w:val="21"/>
          <w:szCs w:val="21"/>
          <w:highlight w:val="none"/>
          <w:lang w:val="en-US" w:eastAsia="zh-CN"/>
        </w:rPr>
        <w:t>以下证明材料复印件加盖投标人公章：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1）人员</w:t>
      </w:r>
      <w:r>
        <w:rPr>
          <w:rFonts w:hint="eastAsia" w:ascii="宋体" w:hAnsi="宋体" w:eastAsia="宋体" w:cs="宋体"/>
          <w:b/>
          <w:bCs/>
          <w:color w:val="auto"/>
          <w:sz w:val="21"/>
          <w:szCs w:val="21"/>
          <w:highlight w:val="none"/>
        </w:rPr>
        <w:t>身份证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造价工程师职业资格证书；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w:t>
      </w:r>
      <w:r>
        <w:rPr>
          <w:rFonts w:hint="eastAsia" w:ascii="宋体" w:hAnsi="宋体" w:eastAsia="宋体" w:cs="宋体"/>
          <w:b/>
          <w:bCs/>
          <w:color w:val="auto"/>
          <w:sz w:val="21"/>
          <w:szCs w:val="21"/>
          <w:highlight w:val="none"/>
        </w:rPr>
        <w:t>注册证书【或在“全国建筑市场监管公共服务平台”（网址：https://jzsc.mohurd.gov.cn/home）上的执业注册信息截图】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人力资源和社会保障部门（或税务部门）出具</w:t>
      </w:r>
      <w:r>
        <w:rPr>
          <w:rFonts w:hint="eastAsia" w:ascii="宋体" w:hAnsi="宋体" w:eastAsia="宋体" w:cs="宋体"/>
          <w:b/>
          <w:bCs/>
          <w:color w:val="auto"/>
          <w:sz w:val="21"/>
          <w:szCs w:val="21"/>
          <w:highlight w:val="none"/>
        </w:rPr>
        <w:t>的202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Cs w:val="21"/>
          <w:highlight w:val="none"/>
        </w:rPr>
        <w:t>的投标人为其缴纳的社保证明</w:t>
      </w:r>
      <w:r>
        <w:rPr>
          <w:rFonts w:hint="eastAsia" w:ascii="宋体" w:hAnsi="宋体" w:eastAsia="宋体" w:cs="宋体"/>
          <w:b/>
          <w:bCs/>
          <w:color w:val="auto"/>
          <w:szCs w:val="21"/>
          <w:highlight w:val="none"/>
          <w:lang w:val="en-US" w:eastAsia="zh-CN"/>
        </w:rPr>
        <w:t>材料。</w:t>
      </w:r>
    </w:p>
    <w:p w14:paraId="59C98373">
      <w:pPr>
        <w:spacing w:line="360" w:lineRule="auto"/>
        <w:ind w:firstLine="5040" w:firstLineChars="2400"/>
        <w:rPr>
          <w:rFonts w:hint="eastAsia" w:ascii="宋体" w:hAnsi="宋体" w:eastAsia="宋体" w:cs="宋体"/>
          <w:color w:val="auto"/>
          <w:kern w:val="2"/>
          <w:sz w:val="21"/>
          <w:highlight w:val="none"/>
          <w:lang w:val="zh-CN"/>
        </w:rPr>
      </w:pPr>
    </w:p>
    <w:p w14:paraId="61D0F829">
      <w:pPr>
        <w:spacing w:line="360"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投标人：（加盖投标人法人公章）</w:t>
      </w:r>
    </w:p>
    <w:p w14:paraId="1689E6B2">
      <w:pPr>
        <w:autoSpaceDE/>
        <w:autoSpaceDN/>
        <w:adjustRightInd/>
        <w:spacing w:line="360" w:lineRule="auto"/>
        <w:ind w:firstLine="5040" w:firstLineChars="2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41D875B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15B63540">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5D326AC">
      <w:pPr>
        <w:keepNext w:val="0"/>
        <w:keepLines w:val="0"/>
        <w:pageBreakBefore/>
        <w:widowControl w:val="0"/>
        <w:kinsoku/>
        <w:wordWrap/>
        <w:overflowPunct/>
        <w:topLinePunct w:val="0"/>
        <w:autoSpaceDE/>
        <w:autoSpaceDN/>
        <w:bidi w:val="0"/>
        <w:adjustRightInd/>
        <w:snapToGrid/>
        <w:spacing w:line="360" w:lineRule="auto"/>
        <w:textAlignment w:val="auto"/>
        <w:outlineLvl w:val="2"/>
        <w:rPr>
          <w:rFonts w:hint="default" w:ascii="宋体" w:hAnsi="宋体" w:eastAsia="宋体" w:cs="宋体"/>
          <w:b/>
          <w:color w:val="auto"/>
          <w:kern w:val="0"/>
          <w:sz w:val="30"/>
          <w:szCs w:val="30"/>
          <w:highlight w:val="none"/>
          <w:lang w:val="en-US" w:eastAsia="zh-CN"/>
        </w:rPr>
      </w:pPr>
      <w:bookmarkStart w:id="742" w:name="_Toc31002"/>
      <w:bookmarkStart w:id="743" w:name="_Toc25626"/>
      <w:r>
        <w:rPr>
          <w:rFonts w:hint="eastAsia" w:ascii="宋体" w:hAnsi="宋体" w:eastAsia="宋体" w:cs="宋体"/>
          <w:b/>
          <w:color w:val="auto"/>
          <w:kern w:val="0"/>
          <w:sz w:val="30"/>
          <w:szCs w:val="30"/>
          <w:highlight w:val="none"/>
          <w:lang w:val="en-US" w:eastAsia="zh-CN"/>
        </w:rPr>
        <w:t>13.7 服务便利性</w:t>
      </w:r>
      <w:bookmarkEnd w:id="742"/>
      <w:r>
        <w:rPr>
          <w:rFonts w:hint="eastAsia" w:ascii="宋体" w:hAnsi="宋体" w:eastAsia="宋体" w:cs="宋体"/>
          <w:b/>
          <w:color w:val="auto"/>
          <w:kern w:val="0"/>
          <w:sz w:val="30"/>
          <w:szCs w:val="30"/>
          <w:highlight w:val="none"/>
          <w:lang w:val="en-US" w:eastAsia="zh-CN"/>
        </w:rPr>
        <w:t>承诺</w:t>
      </w:r>
      <w:bookmarkEnd w:id="743"/>
    </w:p>
    <w:p w14:paraId="74D3F37B">
      <w:pPr>
        <w:spacing w:line="360" w:lineRule="auto"/>
        <w:jc w:val="center"/>
        <w:rPr>
          <w:rFonts w:hint="eastAsia" w:ascii="宋体" w:hAnsi="宋体" w:eastAsia="宋体" w:cs="宋体"/>
          <w:b/>
          <w:bCs/>
          <w:color w:val="auto"/>
          <w:kern w:val="2"/>
          <w:sz w:val="30"/>
          <w:szCs w:val="30"/>
          <w:highlight w:val="none"/>
          <w:lang w:val="zh-CN" w:eastAsia="zh-CN"/>
        </w:rPr>
      </w:pPr>
      <w:r>
        <w:rPr>
          <w:rFonts w:hint="eastAsia" w:ascii="宋体" w:hAnsi="宋体" w:eastAsia="宋体" w:cs="宋体"/>
          <w:b/>
          <w:bCs/>
          <w:color w:val="auto"/>
          <w:kern w:val="2"/>
          <w:sz w:val="30"/>
          <w:szCs w:val="30"/>
          <w:highlight w:val="none"/>
          <w:lang w:val="zh-CN"/>
        </w:rPr>
        <w:t>服务便利性承诺</w:t>
      </w:r>
      <w:r>
        <w:rPr>
          <w:rFonts w:hint="eastAsia" w:ascii="宋体" w:hAnsi="宋体" w:eastAsia="宋体" w:cs="宋体"/>
          <w:b/>
          <w:bCs/>
          <w:color w:val="auto"/>
          <w:kern w:val="2"/>
          <w:sz w:val="30"/>
          <w:szCs w:val="30"/>
          <w:highlight w:val="none"/>
          <w:lang w:val="en-US" w:eastAsia="zh-CN"/>
        </w:rPr>
        <w:t>表</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5"/>
      </w:tblGrid>
      <w:tr w14:paraId="1EE8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CC9353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bidi="ar"/>
              </w:rPr>
              <w:t>承诺事项</w:t>
            </w:r>
          </w:p>
        </w:tc>
      </w:tr>
      <w:tr w14:paraId="470D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80357B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bidi="ar"/>
              </w:rPr>
              <w:t>我司</w:t>
            </w:r>
            <w:r>
              <w:rPr>
                <w:rFonts w:hint="eastAsia" w:ascii="宋体" w:hAnsi="宋体" w:eastAsia="宋体" w:cs="宋体"/>
                <w:color w:val="auto"/>
                <w:szCs w:val="21"/>
                <w:highlight w:val="none"/>
              </w:rPr>
              <w:t>承诺本项目</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人员接到</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通知后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 w:val="21"/>
                <w:szCs w:val="21"/>
                <w:highlight w:val="none"/>
                <w:lang w:eastAsia="zh-CN" w:bidi="ar"/>
              </w:rPr>
              <w:t>。</w:t>
            </w:r>
          </w:p>
        </w:tc>
      </w:tr>
      <w:tr w14:paraId="65DA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C1287F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u w:val="single"/>
                <w:lang w:val="en-US" w:eastAsia="zh-CN"/>
              </w:rPr>
            </w:pPr>
            <w:bookmarkStart w:id="744" w:name="OLE_LINK60"/>
            <w:r>
              <w:rPr>
                <w:rFonts w:hint="eastAsia" w:ascii="宋体" w:hAnsi="宋体" w:eastAsia="宋体" w:cs="宋体"/>
                <w:color w:val="auto"/>
                <w:sz w:val="21"/>
                <w:szCs w:val="21"/>
                <w:shd w:val="clear" w:color="auto" w:fill="FFFFFF"/>
                <w:lang w:val="en-US" w:eastAsia="zh-CN" w:bidi="ar"/>
              </w:rPr>
              <w:t>我司</w:t>
            </w:r>
            <w:r>
              <w:rPr>
                <w:rFonts w:hint="eastAsia" w:ascii="宋体" w:hAnsi="宋体" w:eastAsia="宋体" w:cs="宋体"/>
                <w:color w:val="auto"/>
                <w:sz w:val="21"/>
                <w:szCs w:val="21"/>
                <w:shd w:val="clear" w:color="auto" w:fill="FFFFFF"/>
                <w:lang w:bidi="ar"/>
              </w:rPr>
              <w:t>承诺</w:t>
            </w:r>
            <w:bookmarkEnd w:id="744"/>
            <w:r>
              <w:rPr>
                <w:rFonts w:hint="eastAsia" w:ascii="宋体" w:hAnsi="宋体" w:eastAsia="宋体" w:cs="宋体"/>
                <w:color w:val="auto"/>
                <w:szCs w:val="21"/>
                <w:shd w:val="clear" w:color="auto" w:fill="FFFFFF"/>
                <w:lang w:bidi="ar"/>
              </w:rPr>
              <w:t>根据招标人的反馈意见而需要作出调整修改</w:t>
            </w:r>
            <w:r>
              <w:rPr>
                <w:rFonts w:hint="eastAsia" w:ascii="宋体" w:hAnsi="宋体" w:eastAsia="宋体" w:cs="宋体"/>
                <w:color w:val="auto"/>
                <w:sz w:val="21"/>
                <w:szCs w:val="21"/>
                <w:shd w:val="clear" w:color="auto" w:fill="FFFFFF"/>
                <w:lang w:val="en-US" w:eastAsia="zh-CN" w:bidi="ar"/>
              </w:rPr>
              <w:t>的，</w:t>
            </w:r>
            <w:r>
              <w:rPr>
                <w:rFonts w:hint="eastAsia" w:ascii="宋体" w:hAnsi="宋体" w:eastAsia="宋体" w:cs="宋体"/>
                <w:color w:val="auto"/>
                <w:szCs w:val="21"/>
                <w:shd w:val="clear" w:color="auto" w:fill="FFFFFF"/>
                <w:lang w:bidi="ar"/>
              </w:rPr>
              <w:t>在收到招标人的意见后</w:t>
            </w:r>
            <w:r>
              <w:rPr>
                <w:rFonts w:hint="eastAsia" w:ascii="宋体" w:hAnsi="宋体" w:eastAsia="宋体" w:cs="宋体"/>
                <w:color w:val="auto"/>
                <w:szCs w:val="21"/>
                <w:u w:val="single"/>
                <w:shd w:val="clear" w:color="auto" w:fill="FFFFFF"/>
                <w:lang w:eastAsia="zh-CN" w:bidi="ar"/>
              </w:rPr>
              <w:t xml:space="preserve"> </w:t>
            </w:r>
            <w:r>
              <w:rPr>
                <w:rFonts w:hint="eastAsia" w:ascii="宋体" w:hAnsi="宋体" w:eastAsia="宋体" w:cs="宋体"/>
                <w:color w:val="auto"/>
                <w:szCs w:val="21"/>
                <w:u w:val="single"/>
                <w:shd w:val="clear" w:color="auto" w:fill="FFFFFF"/>
                <w:lang w:val="en-US" w:eastAsia="zh-CN" w:bidi="ar"/>
              </w:rPr>
              <w:t xml:space="preserve">     </w:t>
            </w:r>
            <w:r>
              <w:rPr>
                <w:rFonts w:hint="eastAsia" w:ascii="宋体" w:hAnsi="宋体" w:eastAsia="宋体" w:cs="宋体"/>
                <w:color w:val="auto"/>
                <w:szCs w:val="21"/>
                <w:shd w:val="clear" w:color="auto" w:fill="FFFFFF"/>
                <w:lang w:bidi="ar"/>
              </w:rPr>
              <w:t>天内完成修改</w:t>
            </w:r>
            <w:r>
              <w:rPr>
                <w:rFonts w:hint="eastAsia" w:ascii="宋体" w:hAnsi="宋体" w:eastAsia="宋体" w:cs="宋体"/>
                <w:color w:val="auto"/>
                <w:sz w:val="21"/>
                <w:szCs w:val="21"/>
                <w:shd w:val="clear" w:color="auto" w:fill="FFFFFF"/>
                <w:lang w:eastAsia="zh-CN" w:bidi="ar"/>
              </w:rPr>
              <w:t>。</w:t>
            </w:r>
          </w:p>
        </w:tc>
      </w:tr>
    </w:tbl>
    <w:p w14:paraId="0B8B7CCB">
      <w:pPr>
        <w:spacing w:line="360" w:lineRule="auto"/>
        <w:ind w:firstLine="420" w:firstLineChars="200"/>
        <w:rPr>
          <w:rFonts w:hint="eastAsia" w:ascii="宋体" w:hAnsi="宋体" w:eastAsia="宋体" w:cs="宋体"/>
          <w:color w:val="auto"/>
          <w:sz w:val="21"/>
          <w:szCs w:val="21"/>
          <w:highlight w:val="none"/>
        </w:rPr>
      </w:pPr>
    </w:p>
    <w:p w14:paraId="2E24185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w:t>
      </w:r>
    </w:p>
    <w:p w14:paraId="68E8173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本表承诺事项若未填或漏填的，视为投标人按用户需求书响应。</w:t>
      </w:r>
    </w:p>
    <w:p w14:paraId="63CB09B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表承诺事项</w:t>
      </w:r>
      <w:r>
        <w:rPr>
          <w:rFonts w:hint="eastAsia" w:ascii="宋体" w:hAnsi="宋体" w:eastAsia="宋体" w:cs="宋体"/>
          <w:color w:val="auto"/>
          <w:sz w:val="21"/>
          <w:szCs w:val="21"/>
        </w:rPr>
        <w:t>若与投标文件其他地方表述不一致的，以本承诺</w:t>
      </w:r>
      <w:r>
        <w:rPr>
          <w:rFonts w:hint="eastAsia" w:ascii="宋体" w:hAnsi="宋体" w:eastAsia="宋体" w:cs="宋体"/>
          <w:color w:val="auto"/>
          <w:sz w:val="21"/>
          <w:szCs w:val="21"/>
          <w:lang w:val="en-US" w:eastAsia="zh-CN"/>
        </w:rPr>
        <w:t>表</w:t>
      </w:r>
      <w:r>
        <w:rPr>
          <w:rFonts w:hint="eastAsia" w:ascii="宋体" w:hAnsi="宋体" w:eastAsia="宋体" w:cs="宋体"/>
          <w:color w:val="auto"/>
          <w:sz w:val="21"/>
          <w:szCs w:val="21"/>
        </w:rPr>
        <w:t>为准。</w:t>
      </w:r>
    </w:p>
    <w:p w14:paraId="7AC24BEC">
      <w:pPr>
        <w:spacing w:line="360" w:lineRule="auto"/>
        <w:rPr>
          <w:rFonts w:hint="eastAsia" w:ascii="宋体" w:hAnsi="宋体" w:eastAsia="宋体" w:cs="宋体"/>
          <w:color w:val="auto"/>
          <w:highlight w:val="none"/>
        </w:rPr>
      </w:pPr>
    </w:p>
    <w:p w14:paraId="16121776">
      <w:pPr>
        <w:spacing w:line="360" w:lineRule="auto"/>
        <w:rPr>
          <w:rFonts w:hint="eastAsia" w:ascii="宋体" w:hAnsi="宋体" w:eastAsia="宋体" w:cs="宋体"/>
          <w:color w:val="auto"/>
          <w:highlight w:val="none"/>
        </w:rPr>
      </w:pPr>
    </w:p>
    <w:p w14:paraId="65CB2DBB">
      <w:pPr>
        <w:spacing w:line="360" w:lineRule="auto"/>
        <w:ind w:firstLine="504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投标人：（加盖投标人法人公章）</w:t>
      </w:r>
    </w:p>
    <w:p w14:paraId="7766F774">
      <w:pPr>
        <w:ind w:firstLine="5040"/>
        <w:rPr>
          <w:rFonts w:hint="eastAsia" w:ascii="宋体" w:hAnsi="宋体" w:eastAsia="宋体" w:cs="宋体"/>
          <w:color w:val="auto"/>
          <w:highlight w:val="none"/>
          <w:lang w:val="en-US" w:eastAsia="zh-CN"/>
        </w:rPr>
      </w:pPr>
      <w:r>
        <w:rPr>
          <w:rFonts w:hint="eastAsia" w:ascii="宋体" w:hAnsi="宋体" w:eastAsia="宋体" w:cs="宋体"/>
          <w:color w:val="auto"/>
          <w:kern w:val="2"/>
          <w:sz w:val="21"/>
          <w:highlight w:val="none"/>
          <w:lang w:val="zh-CN"/>
        </w:rPr>
        <w:t>日期：   年   月   日</w:t>
      </w:r>
    </w:p>
    <w:p w14:paraId="4779B91C">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89E3561">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45" w:name="_Toc405"/>
      <w:bookmarkStart w:id="746" w:name="_Toc26309"/>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rPr>
        <w:t>投标人认为有必要提供的其它材料（不做强制要求）</w:t>
      </w:r>
      <w:bookmarkEnd w:id="727"/>
      <w:bookmarkEnd w:id="728"/>
      <w:bookmarkEnd w:id="729"/>
      <w:bookmarkEnd w:id="730"/>
      <w:bookmarkEnd w:id="731"/>
      <w:bookmarkEnd w:id="737"/>
      <w:bookmarkEnd w:id="738"/>
      <w:bookmarkEnd w:id="739"/>
      <w:bookmarkEnd w:id="745"/>
      <w:bookmarkEnd w:id="746"/>
    </w:p>
    <w:p w14:paraId="510C977F">
      <w:pPr>
        <w:autoSpaceDE w:val="0"/>
        <w:autoSpaceDN w:val="0"/>
        <w:adjustRightInd w:val="0"/>
        <w:jc w:val="left"/>
        <w:rPr>
          <w:rFonts w:ascii="宋体" w:hAnsi="宋体" w:eastAsia="宋体" w:cs="Times New Roman"/>
          <w:color w:val="auto"/>
          <w:kern w:val="0"/>
          <w:sz w:val="24"/>
          <w:szCs w:val="24"/>
          <w:highlight w:val="none"/>
        </w:rPr>
      </w:pPr>
    </w:p>
    <w:p w14:paraId="3B8FE3BC">
      <w:pPr>
        <w:autoSpaceDE w:val="0"/>
        <w:autoSpaceDN w:val="0"/>
        <w:adjustRightInd w:val="0"/>
        <w:jc w:val="left"/>
        <w:rPr>
          <w:rFonts w:ascii="宋体" w:hAnsi="宋体" w:eastAsia="宋体" w:cs="Times New Roman"/>
          <w:color w:val="auto"/>
          <w:kern w:val="0"/>
          <w:sz w:val="24"/>
          <w:szCs w:val="24"/>
          <w:highlight w:val="none"/>
        </w:rPr>
      </w:pPr>
    </w:p>
    <w:p w14:paraId="3C8D9BD6">
      <w:pPr>
        <w:autoSpaceDE w:val="0"/>
        <w:autoSpaceDN w:val="0"/>
        <w:adjustRightInd w:val="0"/>
        <w:jc w:val="left"/>
        <w:rPr>
          <w:rFonts w:ascii="宋体" w:hAnsi="宋体" w:eastAsia="宋体" w:cs="Times New Roman"/>
          <w:color w:val="auto"/>
          <w:kern w:val="0"/>
          <w:sz w:val="24"/>
          <w:szCs w:val="24"/>
          <w:highlight w:val="none"/>
        </w:rPr>
      </w:pPr>
    </w:p>
    <w:p w14:paraId="74F1A240">
      <w:pPr>
        <w:autoSpaceDE w:val="0"/>
        <w:autoSpaceDN w:val="0"/>
        <w:adjustRightInd w:val="0"/>
        <w:jc w:val="left"/>
        <w:rPr>
          <w:rFonts w:ascii="宋体" w:hAnsi="宋体" w:eastAsia="宋体" w:cs="Times New Roman"/>
          <w:color w:val="auto"/>
          <w:kern w:val="0"/>
          <w:sz w:val="24"/>
          <w:szCs w:val="24"/>
          <w:highlight w:val="none"/>
        </w:rPr>
      </w:pPr>
    </w:p>
    <w:p w14:paraId="782FE721">
      <w:pPr>
        <w:autoSpaceDE w:val="0"/>
        <w:autoSpaceDN w:val="0"/>
        <w:adjustRightInd w:val="0"/>
        <w:jc w:val="left"/>
        <w:rPr>
          <w:rFonts w:ascii="宋体" w:hAnsi="宋体" w:eastAsia="宋体" w:cs="Times New Roman"/>
          <w:color w:val="auto"/>
          <w:kern w:val="0"/>
          <w:sz w:val="24"/>
          <w:szCs w:val="24"/>
          <w:highlight w:val="none"/>
        </w:rPr>
      </w:pPr>
    </w:p>
    <w:p w14:paraId="23029033">
      <w:pPr>
        <w:autoSpaceDE w:val="0"/>
        <w:autoSpaceDN w:val="0"/>
        <w:adjustRightInd w:val="0"/>
        <w:jc w:val="left"/>
        <w:rPr>
          <w:rFonts w:ascii="宋体" w:hAnsi="宋体" w:eastAsia="宋体" w:cs="Times New Roman"/>
          <w:color w:val="auto"/>
          <w:kern w:val="0"/>
          <w:sz w:val="24"/>
          <w:szCs w:val="24"/>
          <w:highlight w:val="none"/>
        </w:rPr>
      </w:pPr>
    </w:p>
    <w:p w14:paraId="5AE85F03">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227962C">
      <w:pPr>
        <w:autoSpaceDE w:val="0"/>
        <w:autoSpaceDN w:val="0"/>
        <w:adjustRightInd w:val="0"/>
        <w:jc w:val="left"/>
        <w:rPr>
          <w:rFonts w:ascii="宋体" w:hAnsi="宋体" w:eastAsia="宋体" w:cs="Times New Roman"/>
          <w:color w:val="auto"/>
          <w:kern w:val="0"/>
          <w:sz w:val="24"/>
          <w:szCs w:val="24"/>
          <w:highlight w:val="none"/>
        </w:rPr>
      </w:pPr>
    </w:p>
    <w:p w14:paraId="610BCF5E">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47" w:name="_Toc30548"/>
      <w:bookmarkStart w:id="748" w:name="_Toc21059"/>
      <w:bookmarkStart w:id="749" w:name="_Toc14977"/>
      <w:bookmarkStart w:id="750" w:name="_Toc11658"/>
      <w:bookmarkStart w:id="751" w:name="_Toc142508390"/>
      <w:bookmarkStart w:id="752" w:name="_Toc22601_WPSOffice_Level1"/>
      <w:bookmarkStart w:id="753" w:name="_Toc521918141"/>
      <w:bookmarkStart w:id="754" w:name="_Toc522047402"/>
      <w:r>
        <w:rPr>
          <w:rFonts w:hint="eastAsia" w:ascii="宋体" w:hAnsi="宋体" w:eastAsia="宋体" w:cs="宋体"/>
          <w:b/>
          <w:bCs/>
          <w:color w:val="auto"/>
          <w:kern w:val="44"/>
          <w:sz w:val="32"/>
          <w:szCs w:val="32"/>
          <w:highlight w:val="none"/>
          <w:lang w:val="zh-CN"/>
        </w:rPr>
        <w:t>附件一：评标工作大纲</w:t>
      </w:r>
      <w:bookmarkEnd w:id="747"/>
      <w:bookmarkEnd w:id="748"/>
      <w:bookmarkEnd w:id="749"/>
      <w:bookmarkEnd w:id="750"/>
      <w:bookmarkEnd w:id="751"/>
    </w:p>
    <w:p w14:paraId="30284AF8">
      <w:pPr>
        <w:autoSpaceDE w:val="0"/>
        <w:autoSpaceDN w:val="0"/>
        <w:adjustRightInd w:val="0"/>
        <w:spacing w:line="400" w:lineRule="atLeast"/>
        <w:jc w:val="center"/>
        <w:rPr>
          <w:rFonts w:ascii="宋体" w:hAnsi="宋体" w:eastAsia="宋体" w:cs="宋体"/>
          <w:b/>
          <w:bCs/>
          <w:color w:val="auto"/>
          <w:szCs w:val="21"/>
          <w:highlight w:val="none"/>
        </w:rPr>
      </w:pPr>
    </w:p>
    <w:p w14:paraId="49F1C4FB">
      <w:pPr>
        <w:autoSpaceDE w:val="0"/>
        <w:autoSpaceDN w:val="0"/>
        <w:adjustRightInd w:val="0"/>
        <w:spacing w:line="400" w:lineRule="atLeast"/>
        <w:jc w:val="center"/>
        <w:rPr>
          <w:rFonts w:ascii="宋体" w:hAnsi="宋体" w:eastAsia="宋体" w:cs="宋体"/>
          <w:b/>
          <w:bCs/>
          <w:color w:val="auto"/>
          <w:szCs w:val="21"/>
          <w:highlight w:val="none"/>
        </w:rPr>
      </w:pPr>
    </w:p>
    <w:p w14:paraId="2464E6D7">
      <w:pPr>
        <w:autoSpaceDE w:val="0"/>
        <w:autoSpaceDN w:val="0"/>
        <w:adjustRightInd w:val="0"/>
        <w:spacing w:line="400" w:lineRule="atLeast"/>
        <w:jc w:val="center"/>
        <w:rPr>
          <w:rFonts w:ascii="宋体" w:hAnsi="宋体" w:eastAsia="宋体" w:cs="宋体"/>
          <w:b/>
          <w:bCs/>
          <w:color w:val="auto"/>
          <w:szCs w:val="21"/>
          <w:highlight w:val="none"/>
        </w:rPr>
      </w:pPr>
    </w:p>
    <w:p w14:paraId="5A0A2653">
      <w:pPr>
        <w:autoSpaceDE w:val="0"/>
        <w:autoSpaceDN w:val="0"/>
        <w:adjustRightInd w:val="0"/>
        <w:spacing w:line="400" w:lineRule="atLeast"/>
        <w:jc w:val="center"/>
        <w:rPr>
          <w:rFonts w:ascii="宋体" w:hAnsi="宋体" w:eastAsia="宋体" w:cs="宋体"/>
          <w:b/>
          <w:bCs/>
          <w:color w:val="auto"/>
          <w:szCs w:val="21"/>
          <w:highlight w:val="none"/>
        </w:rPr>
      </w:pPr>
    </w:p>
    <w:p w14:paraId="036A9BDD">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东莞市水务集团净水有限公司2025年造价咨询服务采购项目</w:t>
      </w:r>
    </w:p>
    <w:p w14:paraId="20BE49F2">
      <w:pPr>
        <w:autoSpaceDE w:val="0"/>
        <w:autoSpaceDN w:val="0"/>
        <w:adjustRightInd w:val="0"/>
        <w:spacing w:line="360" w:lineRule="auto"/>
        <w:jc w:val="center"/>
        <w:rPr>
          <w:rFonts w:ascii="宋体" w:hAnsi="宋体" w:eastAsia="宋体" w:cs="宋体"/>
          <w:b/>
          <w:bCs/>
          <w:color w:val="auto"/>
          <w:sz w:val="36"/>
          <w:szCs w:val="36"/>
          <w:highlight w:val="none"/>
        </w:rPr>
      </w:pPr>
      <w:bookmarkStart w:id="755" w:name="_Toc14752_WPSOffice_Level1"/>
      <w:r>
        <w:rPr>
          <w:rFonts w:hint="eastAsia" w:ascii="宋体" w:hAnsi="宋体" w:eastAsia="宋体" w:cs="宋体"/>
          <w:b/>
          <w:bCs/>
          <w:color w:val="auto"/>
          <w:sz w:val="36"/>
          <w:szCs w:val="36"/>
          <w:highlight w:val="none"/>
          <w:lang w:val="zh-CN"/>
        </w:rPr>
        <w:t>（招标编号：WTZB2025DG0003）</w:t>
      </w:r>
      <w:bookmarkEnd w:id="755"/>
    </w:p>
    <w:p w14:paraId="0FCFD5C5">
      <w:pPr>
        <w:autoSpaceDE w:val="0"/>
        <w:autoSpaceDN w:val="0"/>
        <w:adjustRightInd w:val="0"/>
        <w:spacing w:line="400" w:lineRule="atLeast"/>
        <w:jc w:val="center"/>
        <w:rPr>
          <w:rFonts w:ascii="宋体" w:hAnsi="宋体" w:eastAsia="宋体" w:cs="宋体"/>
          <w:b/>
          <w:bCs/>
          <w:color w:val="auto"/>
          <w:sz w:val="36"/>
          <w:szCs w:val="36"/>
          <w:highlight w:val="none"/>
        </w:rPr>
      </w:pPr>
    </w:p>
    <w:p w14:paraId="566A1400">
      <w:pPr>
        <w:autoSpaceDE w:val="0"/>
        <w:autoSpaceDN w:val="0"/>
        <w:adjustRightInd w:val="0"/>
        <w:spacing w:line="400" w:lineRule="atLeast"/>
        <w:jc w:val="center"/>
        <w:rPr>
          <w:rFonts w:ascii="宋体" w:hAnsi="宋体" w:eastAsia="宋体" w:cs="宋体"/>
          <w:b/>
          <w:bCs/>
          <w:color w:val="auto"/>
          <w:sz w:val="36"/>
          <w:szCs w:val="36"/>
          <w:highlight w:val="none"/>
        </w:rPr>
      </w:pPr>
    </w:p>
    <w:p w14:paraId="7BB89263">
      <w:pPr>
        <w:autoSpaceDE w:val="0"/>
        <w:autoSpaceDN w:val="0"/>
        <w:adjustRightInd w:val="0"/>
        <w:spacing w:line="400" w:lineRule="atLeast"/>
        <w:jc w:val="center"/>
        <w:rPr>
          <w:rFonts w:ascii="宋体" w:hAnsi="宋体" w:eastAsia="宋体" w:cs="宋体"/>
          <w:b/>
          <w:bCs/>
          <w:color w:val="auto"/>
          <w:sz w:val="36"/>
          <w:szCs w:val="36"/>
          <w:highlight w:val="none"/>
        </w:rPr>
      </w:pPr>
    </w:p>
    <w:p w14:paraId="3D61BC79">
      <w:pPr>
        <w:autoSpaceDE w:val="0"/>
        <w:autoSpaceDN w:val="0"/>
        <w:adjustRightInd w:val="0"/>
        <w:spacing w:line="400" w:lineRule="atLeast"/>
        <w:jc w:val="center"/>
        <w:rPr>
          <w:rFonts w:ascii="宋体" w:hAnsi="宋体" w:eastAsia="宋体" w:cs="宋体"/>
          <w:b/>
          <w:bCs/>
          <w:color w:val="auto"/>
          <w:sz w:val="36"/>
          <w:szCs w:val="36"/>
          <w:highlight w:val="none"/>
        </w:rPr>
      </w:pPr>
    </w:p>
    <w:p w14:paraId="4D35DB74">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56" w:name="_Toc18947_WPSOffice_Level2"/>
      <w:r>
        <w:rPr>
          <w:rFonts w:hint="eastAsia" w:ascii="宋体" w:hAnsi="宋体" w:eastAsia="宋体" w:cs="宋体"/>
          <w:b/>
          <w:bCs/>
          <w:color w:val="auto"/>
          <w:sz w:val="72"/>
          <w:szCs w:val="72"/>
          <w:highlight w:val="none"/>
          <w:lang w:val="zh-CN"/>
        </w:rPr>
        <w:t>评标工作大纲</w:t>
      </w:r>
      <w:bookmarkEnd w:id="756"/>
    </w:p>
    <w:p w14:paraId="33D97522">
      <w:pPr>
        <w:autoSpaceDE w:val="0"/>
        <w:autoSpaceDN w:val="0"/>
        <w:adjustRightInd w:val="0"/>
        <w:spacing w:line="400" w:lineRule="atLeast"/>
        <w:jc w:val="center"/>
        <w:rPr>
          <w:rFonts w:ascii="宋体" w:hAnsi="宋体" w:eastAsia="宋体" w:cs="宋体"/>
          <w:b/>
          <w:bCs/>
          <w:color w:val="auto"/>
          <w:sz w:val="36"/>
          <w:szCs w:val="36"/>
          <w:highlight w:val="none"/>
        </w:rPr>
      </w:pPr>
    </w:p>
    <w:p w14:paraId="6F1C9B05">
      <w:pPr>
        <w:autoSpaceDE w:val="0"/>
        <w:autoSpaceDN w:val="0"/>
        <w:adjustRightInd w:val="0"/>
        <w:spacing w:line="400" w:lineRule="atLeast"/>
        <w:rPr>
          <w:rFonts w:ascii="宋体" w:hAnsi="宋体" w:eastAsia="宋体" w:cs="宋体"/>
          <w:b/>
          <w:bCs/>
          <w:color w:val="auto"/>
          <w:sz w:val="36"/>
          <w:szCs w:val="36"/>
          <w:highlight w:val="none"/>
        </w:rPr>
      </w:pPr>
    </w:p>
    <w:p w14:paraId="4D1E28DF">
      <w:pPr>
        <w:autoSpaceDE w:val="0"/>
        <w:autoSpaceDN w:val="0"/>
        <w:adjustRightInd w:val="0"/>
        <w:spacing w:line="400" w:lineRule="atLeast"/>
        <w:jc w:val="center"/>
        <w:rPr>
          <w:rFonts w:ascii="宋体" w:hAnsi="宋体" w:eastAsia="宋体" w:cs="宋体"/>
          <w:b/>
          <w:bCs/>
          <w:color w:val="auto"/>
          <w:sz w:val="36"/>
          <w:szCs w:val="36"/>
          <w:highlight w:val="none"/>
        </w:rPr>
      </w:pPr>
    </w:p>
    <w:p w14:paraId="3EEB1393">
      <w:pPr>
        <w:autoSpaceDE w:val="0"/>
        <w:autoSpaceDN w:val="0"/>
        <w:adjustRightInd w:val="0"/>
        <w:spacing w:line="400" w:lineRule="atLeast"/>
        <w:jc w:val="center"/>
        <w:rPr>
          <w:rFonts w:ascii="宋体" w:hAnsi="宋体" w:eastAsia="宋体" w:cs="宋体"/>
          <w:b/>
          <w:bCs/>
          <w:color w:val="auto"/>
          <w:sz w:val="36"/>
          <w:szCs w:val="36"/>
          <w:highlight w:val="none"/>
        </w:rPr>
      </w:pPr>
    </w:p>
    <w:p w14:paraId="5FF4F145">
      <w:pPr>
        <w:autoSpaceDE w:val="0"/>
        <w:autoSpaceDN w:val="0"/>
        <w:adjustRightInd w:val="0"/>
        <w:spacing w:line="400" w:lineRule="atLeast"/>
        <w:jc w:val="center"/>
        <w:rPr>
          <w:rFonts w:ascii="宋体" w:hAnsi="宋体" w:eastAsia="宋体" w:cs="宋体"/>
          <w:b/>
          <w:bCs/>
          <w:color w:val="auto"/>
          <w:sz w:val="36"/>
          <w:szCs w:val="36"/>
          <w:highlight w:val="none"/>
        </w:rPr>
      </w:pPr>
    </w:p>
    <w:p w14:paraId="1A0EDC2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1FF8D920">
      <w:pPr>
        <w:autoSpaceDE w:val="0"/>
        <w:autoSpaceDN w:val="0"/>
        <w:adjustRightInd w:val="0"/>
        <w:spacing w:line="400" w:lineRule="atLeast"/>
        <w:jc w:val="center"/>
        <w:rPr>
          <w:rFonts w:ascii="宋体" w:hAnsi="宋体" w:eastAsia="宋体" w:cs="宋体"/>
          <w:b/>
          <w:bCs/>
          <w:color w:val="auto"/>
          <w:sz w:val="36"/>
          <w:szCs w:val="36"/>
          <w:highlight w:val="none"/>
        </w:rPr>
      </w:pPr>
    </w:p>
    <w:p w14:paraId="30D3537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57" w:name="_Toc32395_WPSOffice_Level1"/>
      <w:r>
        <w:rPr>
          <w:rFonts w:hint="eastAsia" w:ascii="宋体" w:hAnsi="宋体" w:eastAsia="宋体" w:cs="宋体"/>
          <w:b/>
          <w:bCs/>
          <w:color w:val="auto"/>
          <w:sz w:val="36"/>
          <w:szCs w:val="36"/>
          <w:highlight w:val="none"/>
          <w:lang w:val="zh-CN"/>
        </w:rPr>
        <w:t>目录</w:t>
      </w:r>
      <w:bookmarkEnd w:id="757"/>
    </w:p>
    <w:p w14:paraId="74D59645">
      <w:pPr>
        <w:autoSpaceDE w:val="0"/>
        <w:autoSpaceDN w:val="0"/>
        <w:adjustRightInd w:val="0"/>
        <w:spacing w:line="400" w:lineRule="atLeast"/>
        <w:jc w:val="center"/>
        <w:rPr>
          <w:rFonts w:ascii="宋体" w:hAnsi="宋体" w:eastAsia="宋体" w:cs="宋体"/>
          <w:color w:val="auto"/>
          <w:sz w:val="44"/>
          <w:szCs w:val="44"/>
          <w:highlight w:val="none"/>
        </w:rPr>
      </w:pPr>
    </w:p>
    <w:p w14:paraId="211E3A0B">
      <w:pPr>
        <w:autoSpaceDE w:val="0"/>
        <w:autoSpaceDN w:val="0"/>
        <w:adjustRightInd w:val="0"/>
        <w:spacing w:line="360" w:lineRule="auto"/>
        <w:ind w:left="567" w:hanging="567"/>
        <w:rPr>
          <w:rFonts w:ascii="宋体" w:hAnsi="宋体" w:eastAsia="宋体" w:cs="宋体"/>
          <w:color w:val="auto"/>
          <w:szCs w:val="30"/>
          <w:highlight w:val="none"/>
        </w:rPr>
      </w:pPr>
      <w:bookmarkStart w:id="75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58"/>
    </w:p>
    <w:p w14:paraId="4EE6C937">
      <w:pPr>
        <w:autoSpaceDE w:val="0"/>
        <w:autoSpaceDN w:val="0"/>
        <w:adjustRightInd w:val="0"/>
        <w:spacing w:line="360" w:lineRule="auto"/>
        <w:ind w:left="567" w:hanging="567"/>
        <w:rPr>
          <w:rFonts w:ascii="宋体" w:hAnsi="宋体" w:eastAsia="宋体" w:cs="宋体"/>
          <w:color w:val="auto"/>
          <w:szCs w:val="30"/>
          <w:highlight w:val="none"/>
        </w:rPr>
      </w:pPr>
      <w:bookmarkStart w:id="75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59"/>
    </w:p>
    <w:p w14:paraId="3B94D53B">
      <w:pPr>
        <w:autoSpaceDE w:val="0"/>
        <w:autoSpaceDN w:val="0"/>
        <w:adjustRightInd w:val="0"/>
        <w:spacing w:line="360" w:lineRule="auto"/>
        <w:ind w:left="567" w:hanging="567"/>
        <w:rPr>
          <w:rFonts w:ascii="宋体" w:hAnsi="宋体" w:eastAsia="宋体" w:cs="宋体"/>
          <w:color w:val="auto"/>
          <w:szCs w:val="30"/>
          <w:highlight w:val="none"/>
        </w:rPr>
      </w:pPr>
      <w:bookmarkStart w:id="76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60"/>
    </w:p>
    <w:p w14:paraId="5A3AFCA7">
      <w:pPr>
        <w:autoSpaceDE w:val="0"/>
        <w:autoSpaceDN w:val="0"/>
        <w:adjustRightInd w:val="0"/>
        <w:spacing w:line="360" w:lineRule="auto"/>
        <w:ind w:left="567" w:hanging="567"/>
        <w:rPr>
          <w:rFonts w:ascii="宋体" w:hAnsi="宋体" w:eastAsia="宋体" w:cs="宋体"/>
          <w:color w:val="auto"/>
          <w:szCs w:val="30"/>
          <w:highlight w:val="none"/>
        </w:rPr>
      </w:pPr>
      <w:bookmarkStart w:id="761" w:name="_Toc1206_WPSOffice_Level1"/>
      <w:r>
        <w:rPr>
          <w:rFonts w:hint="eastAsia" w:ascii="宋体" w:hAnsi="宋体" w:eastAsia="宋体" w:cs="宋体"/>
          <w:color w:val="auto"/>
          <w:szCs w:val="30"/>
          <w:highlight w:val="none"/>
        </w:rPr>
        <w:t>四、 比较和评价</w:t>
      </w:r>
      <w:bookmarkEnd w:id="761"/>
    </w:p>
    <w:p w14:paraId="358D745D">
      <w:pPr>
        <w:autoSpaceDE w:val="0"/>
        <w:autoSpaceDN w:val="0"/>
        <w:adjustRightInd w:val="0"/>
        <w:spacing w:line="360" w:lineRule="auto"/>
        <w:ind w:left="567" w:hanging="567"/>
        <w:rPr>
          <w:rFonts w:ascii="宋体" w:hAnsi="宋体" w:eastAsia="宋体" w:cs="宋体"/>
          <w:color w:val="auto"/>
          <w:szCs w:val="30"/>
          <w:highlight w:val="none"/>
        </w:rPr>
      </w:pPr>
      <w:bookmarkStart w:id="76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62"/>
    </w:p>
    <w:p w14:paraId="06221EAD">
      <w:pPr>
        <w:autoSpaceDE w:val="0"/>
        <w:autoSpaceDN w:val="0"/>
        <w:adjustRightInd w:val="0"/>
        <w:spacing w:line="360" w:lineRule="auto"/>
        <w:ind w:left="567" w:hanging="567"/>
        <w:rPr>
          <w:rFonts w:ascii="宋体" w:hAnsi="宋体" w:eastAsia="宋体" w:cs="宋体"/>
          <w:color w:val="auto"/>
          <w:szCs w:val="30"/>
          <w:highlight w:val="none"/>
        </w:rPr>
      </w:pPr>
      <w:bookmarkStart w:id="76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63"/>
    </w:p>
    <w:p w14:paraId="4A3F4128">
      <w:pPr>
        <w:autoSpaceDE w:val="0"/>
        <w:autoSpaceDN w:val="0"/>
        <w:adjustRightInd w:val="0"/>
        <w:spacing w:line="360" w:lineRule="auto"/>
        <w:ind w:left="567" w:hanging="567"/>
        <w:rPr>
          <w:rFonts w:ascii="宋体" w:hAnsi="宋体" w:eastAsia="宋体" w:cs="宋体"/>
          <w:color w:val="auto"/>
          <w:szCs w:val="30"/>
          <w:highlight w:val="none"/>
        </w:rPr>
      </w:pPr>
      <w:bookmarkStart w:id="76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64"/>
    </w:p>
    <w:p w14:paraId="02A364E6">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E99D88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DD045FB">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54CB9BF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6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65"/>
    </w:p>
    <w:p w14:paraId="522C59B8">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12E7D01">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东莞市水务集团净水有限公司2025年造价咨询服务采购项目</w:t>
      </w:r>
      <w:r>
        <w:rPr>
          <w:rFonts w:hint="eastAsia" w:ascii="宋体" w:hAnsi="宋体" w:eastAsia="宋体" w:cs="宋体"/>
          <w:color w:val="auto"/>
          <w:szCs w:val="21"/>
          <w:highlight w:val="none"/>
          <w:lang w:val="zh-CN"/>
        </w:rPr>
        <w:t>(招标编号：WTZB2025DG0003</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160AA7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8E2114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5FF057C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14027444">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5D4F341">
      <w:pPr>
        <w:autoSpaceDE w:val="0"/>
        <w:autoSpaceDN w:val="0"/>
        <w:adjustRightInd w:val="0"/>
        <w:spacing w:line="360" w:lineRule="auto"/>
        <w:rPr>
          <w:rFonts w:ascii="宋体" w:hAnsi="宋体" w:eastAsia="宋体" w:cs="宋体"/>
          <w:color w:val="auto"/>
          <w:sz w:val="24"/>
          <w:szCs w:val="24"/>
          <w:highlight w:val="none"/>
          <w:lang w:val="zh-CN"/>
        </w:rPr>
      </w:pPr>
    </w:p>
    <w:p w14:paraId="6C9E4C90">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331DB1F">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1B983A91">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B5EFB5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1D9EFC3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DACC429">
      <w:pPr>
        <w:autoSpaceDE w:val="0"/>
        <w:autoSpaceDN w:val="0"/>
        <w:adjustRightInd w:val="0"/>
        <w:spacing w:line="360" w:lineRule="auto"/>
        <w:rPr>
          <w:rFonts w:ascii="宋体" w:hAnsi="宋体" w:eastAsia="宋体" w:cs="宋体"/>
          <w:color w:val="auto"/>
          <w:sz w:val="24"/>
          <w:szCs w:val="24"/>
          <w:highlight w:val="none"/>
          <w:lang w:val="zh-CN"/>
        </w:rPr>
      </w:pPr>
    </w:p>
    <w:p w14:paraId="06449E98">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36BB40E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2F8616E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9664FD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0756FB2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F82B442">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9E5B45C">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1A3C520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18444A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9126D3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DE73A2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99D8F9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32A921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06AEB84E">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072D5AD">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0F573D52">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16146C04">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6B3E3C4F">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0B010E5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2EEDE1A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3A9E3B36">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74B7166E">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51383A67">
      <w:pPr>
        <w:autoSpaceDE w:val="0"/>
        <w:autoSpaceDN w:val="0"/>
        <w:adjustRightInd w:val="0"/>
        <w:spacing w:line="360" w:lineRule="auto"/>
        <w:ind w:left="525" w:hanging="525" w:hangingChars="250"/>
        <w:jc w:val="left"/>
        <w:rPr>
          <w:rFonts w:hint="eastAsia" w:ascii="宋体" w:hAnsi="宋体" w:eastAsia="宋体" w:cs="宋体"/>
          <w:b/>
          <w:color w:val="auto"/>
          <w:kern w:val="2"/>
          <w:sz w:val="21"/>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6B7782C0">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5D299B1B">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66" w:name="_Toc19435_WPSOffice_Level1"/>
      <w:r>
        <w:rPr>
          <w:rFonts w:hint="eastAsia" w:ascii="宋体" w:hAnsi="宋体" w:eastAsia="宋体" w:cs="宋体"/>
          <w:b/>
          <w:bCs/>
          <w:color w:val="auto"/>
          <w:sz w:val="28"/>
          <w:szCs w:val="28"/>
          <w:highlight w:val="none"/>
          <w:lang w:val="zh-CN"/>
        </w:rPr>
        <w:t>二、投标文件的初审</w:t>
      </w:r>
      <w:bookmarkEnd w:id="766"/>
    </w:p>
    <w:p w14:paraId="73F524C3">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6F38759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2A576F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1C9B2D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7FE8B21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D8953E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3783886">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442CF5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71508AC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14:paraId="7A34D5C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C6305A4">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E0BFB9E">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0335B8C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27E3A738">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7681F552">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14776C2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E22A32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03FF607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6DF68951">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3F13A2A">
      <w:pPr>
        <w:spacing w:line="360" w:lineRule="auto"/>
        <w:ind w:left="480"/>
        <w:rPr>
          <w:rFonts w:ascii="宋体" w:hAnsi="宋体" w:eastAsia="宋体" w:cs="宋体"/>
          <w:b/>
          <w:color w:val="auto"/>
          <w:kern w:val="0"/>
          <w:szCs w:val="21"/>
          <w:highlight w:val="none"/>
        </w:rPr>
      </w:pPr>
    </w:p>
    <w:p w14:paraId="467D846D">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67" w:name="_Toc4109_WPSOffice_Level1"/>
      <w:r>
        <w:rPr>
          <w:rFonts w:hint="eastAsia" w:ascii="宋体" w:hAnsi="宋体" w:eastAsia="宋体" w:cs="宋体"/>
          <w:b/>
          <w:bCs/>
          <w:color w:val="auto"/>
          <w:sz w:val="28"/>
          <w:szCs w:val="28"/>
          <w:highlight w:val="none"/>
          <w:lang w:val="zh-CN"/>
        </w:rPr>
        <w:t>三、澄清有关问题</w:t>
      </w:r>
      <w:bookmarkEnd w:id="767"/>
    </w:p>
    <w:p w14:paraId="5F0179C1">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10192DC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0D4BD1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B0944AF">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EB82A8C">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3191CDAF">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26EA7AB">
      <w:pPr>
        <w:autoSpaceDE/>
        <w:autoSpaceDN/>
        <w:adjustRightInd/>
        <w:spacing w:line="360" w:lineRule="auto"/>
        <w:ind w:left="634" w:leftChars="302" w:firstLine="422" w:firstLineChars="201"/>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当以数字表示的</w:t>
      </w:r>
      <w:r>
        <w:rPr>
          <w:rFonts w:hint="eastAsia" w:ascii="宋体" w:hAnsi="宋体" w:eastAsia="宋体" w:cs="宋体"/>
          <w:color w:val="auto"/>
          <w:kern w:val="0"/>
          <w:szCs w:val="21"/>
          <w:highlight w:val="none"/>
          <w:lang w:val="en-US" w:eastAsia="zh-CN"/>
        </w:rPr>
        <w:t>折扣</w:t>
      </w:r>
      <w:r>
        <w:rPr>
          <w:rFonts w:hint="eastAsia" w:ascii="宋体" w:hAnsi="宋体" w:eastAsia="宋体" w:cs="宋体"/>
          <w:color w:val="auto"/>
          <w:kern w:val="0"/>
          <w:szCs w:val="21"/>
          <w:highlight w:val="none"/>
          <w:lang w:val="zh-CN"/>
        </w:rPr>
        <w:t>系数与</w:t>
      </w:r>
      <w:r>
        <w:rPr>
          <w:rFonts w:hint="eastAsia" w:ascii="宋体" w:hAnsi="宋体" w:eastAsia="宋体" w:cs="宋体"/>
          <w:color w:val="auto"/>
          <w:kern w:val="0"/>
          <w:szCs w:val="21"/>
          <w:highlight w:val="none"/>
          <w:lang w:val="en-US" w:eastAsia="zh-CN"/>
        </w:rPr>
        <w:t>以</w:t>
      </w:r>
      <w:r>
        <w:rPr>
          <w:rFonts w:hint="eastAsia" w:ascii="宋体" w:hAnsi="宋体" w:eastAsia="宋体" w:cs="宋体"/>
          <w:color w:val="auto"/>
          <w:kern w:val="0"/>
          <w:szCs w:val="21"/>
          <w:highlight w:val="none"/>
          <w:lang w:val="zh-CN"/>
        </w:rPr>
        <w:t>文字表示的</w:t>
      </w:r>
      <w:r>
        <w:rPr>
          <w:rFonts w:hint="eastAsia" w:ascii="宋体" w:hAnsi="宋体" w:eastAsia="宋体" w:cs="宋体"/>
          <w:color w:val="auto"/>
          <w:kern w:val="0"/>
          <w:szCs w:val="21"/>
          <w:highlight w:val="none"/>
          <w:lang w:val="en-US" w:eastAsia="zh-CN"/>
        </w:rPr>
        <w:t>折扣</w:t>
      </w:r>
      <w:r>
        <w:rPr>
          <w:rFonts w:hint="eastAsia" w:ascii="宋体" w:hAnsi="宋体" w:eastAsia="宋体" w:cs="宋体"/>
          <w:color w:val="auto"/>
          <w:kern w:val="0"/>
          <w:szCs w:val="21"/>
          <w:highlight w:val="none"/>
          <w:lang w:val="zh-CN"/>
        </w:rPr>
        <w:t>系数不一致时，以文字表示的</w:t>
      </w:r>
      <w:r>
        <w:rPr>
          <w:rFonts w:hint="eastAsia" w:ascii="宋体" w:hAnsi="宋体" w:eastAsia="宋体" w:cs="宋体"/>
          <w:color w:val="auto"/>
          <w:kern w:val="0"/>
          <w:szCs w:val="21"/>
          <w:highlight w:val="none"/>
          <w:lang w:val="en-US" w:eastAsia="zh-CN"/>
        </w:rPr>
        <w:t>折扣</w:t>
      </w:r>
      <w:r>
        <w:rPr>
          <w:rFonts w:hint="eastAsia" w:ascii="宋体" w:hAnsi="宋体" w:eastAsia="宋体" w:cs="宋体"/>
          <w:color w:val="auto"/>
          <w:kern w:val="0"/>
          <w:szCs w:val="21"/>
          <w:highlight w:val="none"/>
          <w:lang w:val="zh-CN"/>
        </w:rPr>
        <w:t>系数为准。按</w:t>
      </w:r>
      <w:r>
        <w:rPr>
          <w:rFonts w:hint="eastAsia" w:ascii="宋体" w:hAnsi="宋体" w:eastAsia="宋体" w:cs="宋体"/>
          <w:color w:val="auto"/>
          <w:kern w:val="0"/>
          <w:szCs w:val="21"/>
          <w:highlight w:val="none"/>
          <w:lang w:val="en-US" w:eastAsia="zh-CN"/>
        </w:rPr>
        <w:t>前</w:t>
      </w:r>
      <w:r>
        <w:rPr>
          <w:rFonts w:hint="eastAsia" w:ascii="宋体" w:hAnsi="宋体" w:eastAsia="宋体" w:cs="宋体"/>
          <w:color w:val="auto"/>
          <w:kern w:val="0"/>
          <w:szCs w:val="21"/>
          <w:highlight w:val="none"/>
          <w:lang w:val="zh-CN"/>
        </w:rPr>
        <w:t>述修正原则进行修正至唯一值后的报价表经双方确认后，作为合同文件的组成部分。</w:t>
      </w:r>
    </w:p>
    <w:p w14:paraId="2D8533D7">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E46EA8C">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B7C40EB">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68" w:name="_Toc8518_WPSOffice_Level1"/>
    </w:p>
    <w:p w14:paraId="4970C87C">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68"/>
    </w:p>
    <w:p w14:paraId="7AA44B8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8E00C02">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CD3467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2CAD43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429083F8">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0F3CCA8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4AACEA3">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70DF1D6D">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3DC66D7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DF92692">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D254C7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266E3CEB">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3F63137">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55F7D13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5E6A613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2CDCA49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7D90DC1">
      <w:pPr>
        <w:autoSpaceDE w:val="0"/>
        <w:autoSpaceDN w:val="0"/>
        <w:adjustRightInd w:val="0"/>
        <w:spacing w:line="360" w:lineRule="auto"/>
        <w:rPr>
          <w:rFonts w:ascii="宋体" w:hAnsi="宋体" w:eastAsia="宋体" w:cs="宋体"/>
          <w:color w:val="auto"/>
          <w:szCs w:val="24"/>
          <w:highlight w:val="none"/>
          <w:lang w:val="zh-CN"/>
        </w:rPr>
      </w:pPr>
    </w:p>
    <w:p w14:paraId="0BE7D2F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12ADC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38132E2">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76CC2F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66BA6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A2F3FC9">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081239F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4D55C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2130A3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1A715E1D">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141C1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D5BB10B">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18982DB7">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557669DF">
      <w:pPr>
        <w:tabs>
          <w:tab w:val="left" w:pos="585"/>
        </w:tabs>
        <w:autoSpaceDE w:val="0"/>
        <w:autoSpaceDN w:val="0"/>
        <w:adjustRightInd w:val="0"/>
        <w:spacing w:line="360" w:lineRule="auto"/>
        <w:rPr>
          <w:rFonts w:ascii="宋体" w:hAnsi="宋体" w:eastAsia="宋体" w:cs="宋体"/>
          <w:b/>
          <w:color w:val="auto"/>
          <w:szCs w:val="21"/>
          <w:highlight w:val="none"/>
        </w:rPr>
      </w:pPr>
      <w:bookmarkStart w:id="769" w:name="_Toc18349_WPSOffice_Level2"/>
    </w:p>
    <w:p w14:paraId="47F3C0CA">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6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14:paraId="6664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657781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bookmarkStart w:id="770" w:name="_Toc11639_WPSOffice_Level2"/>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2A0657C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69853BF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9DC6A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EB1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6C79EB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303728E8">
            <w:pPr>
              <w:keepNext w:val="0"/>
              <w:keepLines w:val="0"/>
              <w:suppressLineNumbers w:val="0"/>
              <w:autoSpaceDE w:val="0"/>
              <w:autoSpaceDN w:val="0"/>
              <w:spacing w:before="0" w:beforeAutospacing="0" w:after="0" w:afterAutospacing="0" w:line="400" w:lineRule="exact"/>
              <w:ind w:left="0" w:right="0"/>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2C2D76AD">
            <w:pPr>
              <w:keepNext w:val="0"/>
              <w:keepLines w:val="0"/>
              <w:suppressLineNumbers w:val="0"/>
              <w:autoSpaceDE w:val="0"/>
              <w:autoSpaceDN w:val="0"/>
              <w:spacing w:before="0" w:beforeAutospacing="0" w:after="0" w:afterAutospacing="0" w:line="360" w:lineRule="auto"/>
              <w:ind w:left="0" w:right="0"/>
              <w:jc w:val="left"/>
              <w:rPr>
                <w:rFonts w:hint="eastAsia"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投标人2021年-2023年三个年度，每具有1个年度盈利的得1分，满分3分。</w:t>
            </w:r>
          </w:p>
          <w:p w14:paraId="4F82B50F">
            <w:pPr>
              <w:keepNext w:val="0"/>
              <w:keepLines w:val="0"/>
              <w:suppressLineNumbers w:val="0"/>
              <w:autoSpaceDE w:val="0"/>
              <w:autoSpaceDN w:val="0"/>
              <w:spacing w:before="0" w:beforeAutospacing="0" w:after="0" w:afterAutospacing="0" w:line="360" w:lineRule="auto"/>
              <w:ind w:left="0" w:right="0"/>
              <w:jc w:val="left"/>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28871D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lang w:val="zh-CN"/>
              </w:rPr>
              <w:t>3分</w:t>
            </w:r>
          </w:p>
        </w:tc>
      </w:tr>
      <w:tr w14:paraId="1492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18D8E73">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27DE2036">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47AC1705">
            <w:pPr>
              <w:keepNext w:val="0"/>
              <w:keepLines w:val="0"/>
              <w:suppressLineNumbers w:val="0"/>
              <w:adjustRightInd/>
              <w:spacing w:before="0" w:beforeAutospacing="0" w:after="0" w:afterAutospacing="0" w:line="360" w:lineRule="auto"/>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1、工程</w:t>
            </w:r>
            <w:r>
              <w:rPr>
                <w:rFonts w:hint="eastAsia" w:ascii="宋体" w:hAnsi="宋体" w:eastAsia="宋体" w:cs="宋体"/>
                <w:b/>
                <w:bCs/>
                <w:color w:val="auto"/>
                <w:sz w:val="21"/>
                <w:szCs w:val="21"/>
                <w:highlight w:val="none"/>
                <w:lang w:val="en-US" w:eastAsia="zh-CN"/>
              </w:rPr>
              <w:t>类</w:t>
            </w:r>
            <w:r>
              <w:rPr>
                <w:rFonts w:hint="eastAsia" w:ascii="宋体" w:hAnsi="宋体" w:eastAsia="宋体" w:cs="宋体"/>
                <w:b/>
                <w:bCs/>
                <w:color w:val="auto"/>
                <w:sz w:val="21"/>
                <w:szCs w:val="21"/>
                <w:highlight w:val="none"/>
              </w:rPr>
              <w:t>造价咨询业绩（满分</w:t>
            </w: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分）</w:t>
            </w:r>
          </w:p>
          <w:p w14:paraId="23D5ECEA">
            <w:pPr>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根据投标人202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年1月1日至今承接的</w:t>
            </w:r>
            <w:r>
              <w:rPr>
                <w:rFonts w:hint="eastAsia" w:ascii="宋体" w:hAnsi="宋体" w:eastAsia="宋体" w:cs="宋体"/>
                <w:color w:val="auto"/>
                <w:sz w:val="21"/>
                <w:szCs w:val="21"/>
                <w:highlight w:val="none"/>
                <w:lang w:val="en-US" w:eastAsia="zh-CN"/>
              </w:rPr>
              <w:t>工程类造价咨询各阶段</w:t>
            </w:r>
            <w:r>
              <w:rPr>
                <w:rFonts w:hint="eastAsia" w:ascii="宋体" w:hAnsi="宋体" w:eastAsia="宋体" w:cs="宋体"/>
                <w:color w:val="auto"/>
                <w:sz w:val="21"/>
                <w:szCs w:val="21"/>
                <w:highlight w:val="none"/>
              </w:rPr>
              <w:t>业绩进行评审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前述阶段为：</w:t>
            </w:r>
            <w:r>
              <w:rPr>
                <w:rFonts w:hint="eastAsia" w:ascii="宋体" w:hAnsi="宋体" w:eastAsia="宋体" w:cs="宋体"/>
                <w:color w:val="auto"/>
                <w:sz w:val="21"/>
                <w:szCs w:val="21"/>
                <w:highlight w:val="none"/>
              </w:rPr>
              <w:t>概算编制、概算审核、预算(或招标控制价)编制、预算(或招标控制价)审核、结算编制和结算审核</w:t>
            </w:r>
            <w:r>
              <w:rPr>
                <w:rFonts w:hint="eastAsia" w:ascii="宋体" w:hAnsi="宋体" w:eastAsia="宋体" w:cs="宋体"/>
                <w:color w:val="auto"/>
                <w:sz w:val="21"/>
                <w:szCs w:val="21"/>
                <w:highlight w:val="none"/>
                <w:lang w:eastAsia="zh-CN"/>
              </w:rPr>
              <w:t>）：</w:t>
            </w:r>
          </w:p>
          <w:p w14:paraId="4D3F9947">
            <w:pPr>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上述阶段，每有一个阶段提供2个</w:t>
            </w:r>
            <w:r>
              <w:rPr>
                <w:rFonts w:hint="eastAsia" w:ascii="宋体" w:hAnsi="宋体" w:eastAsia="宋体" w:cs="宋体"/>
                <w:color w:val="auto"/>
                <w:sz w:val="21"/>
                <w:szCs w:val="21"/>
                <w:highlight w:val="none"/>
              </w:rPr>
              <w:t>造价咨询业绩</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得1分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本子项最高得6分；</w:t>
            </w:r>
          </w:p>
          <w:p w14:paraId="7800EF1A">
            <w:pPr>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（2）在（1）的基础上，任一个阶段</w:t>
            </w:r>
            <w:r>
              <w:rPr>
                <w:rFonts w:hint="eastAsia" w:ascii="宋体" w:hAnsi="宋体" w:eastAsia="宋体" w:cs="宋体"/>
                <w:color w:val="auto"/>
                <w:sz w:val="21"/>
                <w:szCs w:val="21"/>
                <w:highlight w:val="none"/>
              </w:rPr>
              <w:t>每增加</w:t>
            </w:r>
            <w:r>
              <w:rPr>
                <w:rFonts w:hint="eastAsia" w:ascii="宋体" w:hAnsi="宋体" w:eastAsia="宋体" w:cs="宋体"/>
                <w:color w:val="auto"/>
                <w:sz w:val="21"/>
                <w:szCs w:val="21"/>
                <w:highlight w:val="none"/>
                <w:lang w:val="en-US" w:eastAsia="zh-CN"/>
              </w:rPr>
              <w:t>1个造价咨询业绩</w:t>
            </w:r>
            <w:r>
              <w:rPr>
                <w:rFonts w:hint="eastAsia" w:ascii="宋体" w:hAnsi="宋体" w:eastAsia="宋体" w:cs="宋体"/>
                <w:color w:val="auto"/>
                <w:sz w:val="21"/>
                <w:szCs w:val="21"/>
                <w:highlight w:val="none"/>
              </w:rPr>
              <w:t>的加</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一个阶段最多只能增加4个造价咨询业绩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，本子项最高得</w:t>
            </w:r>
            <w:r>
              <w:rPr>
                <w:rFonts w:hint="eastAsia" w:ascii="宋体" w:hAnsi="宋体" w:eastAsia="宋体" w:cs="宋体"/>
                <w:color w:val="auto"/>
                <w:sz w:val="21"/>
                <w:szCs w:val="21"/>
                <w:highlight w:val="none"/>
                <w:lang w:val="en-US" w:eastAsia="zh-CN"/>
              </w:rPr>
              <w:t>4分；</w:t>
            </w:r>
            <w:bookmarkStart w:id="771" w:name="_Hlk122543198"/>
          </w:p>
          <w:p w14:paraId="6738DC69">
            <w:pPr>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（3）上述业绩中，每具有一个不同专业类型</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专业类型为：房建（含装饰）类、市政类、安装类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编</w:t>
            </w:r>
            <w:r>
              <w:rPr>
                <w:rFonts w:hint="eastAsia" w:ascii="宋体" w:hAnsi="宋体" w:eastAsia="宋体" w:cs="宋体"/>
                <w:color w:val="auto"/>
                <w:sz w:val="21"/>
                <w:szCs w:val="21"/>
                <w:highlight w:val="none"/>
                <w:lang w:val="en-US" w:eastAsia="zh-CN"/>
              </w:rPr>
              <w:t>制或审核</w:t>
            </w:r>
            <w:r>
              <w:rPr>
                <w:rFonts w:hint="eastAsia" w:ascii="宋体" w:hAnsi="宋体" w:eastAsia="宋体" w:cs="宋体"/>
                <w:color w:val="auto"/>
                <w:sz w:val="21"/>
                <w:szCs w:val="21"/>
                <w:highlight w:val="none"/>
              </w:rPr>
              <w:t>业绩</w:t>
            </w:r>
            <w:bookmarkEnd w:id="771"/>
            <w:r>
              <w:rPr>
                <w:rFonts w:hint="eastAsia" w:ascii="宋体" w:hAnsi="宋体" w:eastAsia="宋体" w:cs="宋体"/>
                <w:color w:val="auto"/>
                <w:sz w:val="21"/>
                <w:szCs w:val="21"/>
                <w:highlight w:val="none"/>
                <w:lang w:val="en-US" w:eastAsia="zh-CN"/>
              </w:rPr>
              <w:t>的，每个加1分，满分3分</w:t>
            </w:r>
            <w:r>
              <w:rPr>
                <w:rFonts w:hint="eastAsia" w:ascii="宋体" w:hAnsi="宋体" w:eastAsia="宋体" w:cs="宋体"/>
                <w:color w:val="auto"/>
                <w:sz w:val="21"/>
                <w:szCs w:val="21"/>
                <w:highlight w:val="none"/>
                <w:lang w:eastAsia="zh-CN"/>
              </w:rPr>
              <w:t>；</w:t>
            </w:r>
          </w:p>
          <w:p w14:paraId="2CBFD9DC">
            <w:pPr>
              <w:keepNext w:val="0"/>
              <w:keepLines w:val="0"/>
              <w:suppressLineNumbers w:val="0"/>
              <w:adjustRightInd/>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本项满分</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p>
          <w:p w14:paraId="32FE773D">
            <w:pPr>
              <w:keepNext w:val="0"/>
              <w:keepLines w:val="0"/>
              <w:suppressLineNumbers w:val="0"/>
              <w:adjustRightInd/>
              <w:spacing w:before="0" w:beforeAutospacing="0" w:after="0" w:afterAutospacing="0" w:line="36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2、货物类造价咨询业绩（满分2分）：</w:t>
            </w:r>
          </w:p>
          <w:p w14:paraId="17FF3DD1">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根据投标人2022年1月1日至今承接的货物类造价咨询业绩进行评审：每提供一个货物类造价咨询业绩的，得1分，最高的2分。</w:t>
            </w:r>
          </w:p>
          <w:p w14:paraId="0C4A75BB">
            <w:pPr>
              <w:keepNext w:val="0"/>
              <w:keepLines w:val="0"/>
              <w:suppressLineNumbers w:val="0"/>
              <w:adjustRightInd/>
              <w:spacing w:before="0" w:beforeAutospacing="0" w:after="0" w:afterAutospacing="0" w:line="36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3、服务类造价咨询业绩（满分2分）：</w:t>
            </w:r>
          </w:p>
          <w:p w14:paraId="1B5B77F7">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根据投标人2022年1月1日至今承接的服务类造价咨询业绩进行评审：每提供一个服务类造价咨询业绩的，得1分，最高的2分。</w:t>
            </w:r>
          </w:p>
          <w:p w14:paraId="6BE3D6E4">
            <w:pPr>
              <w:keepNext w:val="0"/>
              <w:keepLines w:val="0"/>
              <w:suppressLineNumbers w:val="0"/>
              <w:adjustRightInd/>
              <w:spacing w:before="0" w:beforeAutospacing="0" w:after="0" w:afterAutospacing="0" w:line="360" w:lineRule="auto"/>
              <w:ind w:left="0" w:right="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14:paraId="52501B5A">
            <w:pPr>
              <w:pStyle w:val="128"/>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lang w:val="zh-CN"/>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1）</w:t>
            </w:r>
            <w:r>
              <w:rPr>
                <w:rFonts w:hint="eastAsia" w:ascii="宋体" w:hAnsi="宋体" w:eastAsia="宋体" w:cs="宋体"/>
                <w:b/>
                <w:bCs/>
                <w:color w:val="auto"/>
                <w:sz w:val="21"/>
                <w:szCs w:val="21"/>
                <w:highlight w:val="none"/>
                <w:lang w:val="zh-CN"/>
              </w:rPr>
              <w:t>业绩须附合同及项目的相关成果文件关键页复印件加盖投标人公章（合同服务提供方必须为投标人），否则不得分。</w:t>
            </w:r>
          </w:p>
          <w:p w14:paraId="5F24D0F2">
            <w:pPr>
              <w:pStyle w:val="128"/>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若</w:t>
            </w:r>
            <w:r>
              <w:rPr>
                <w:rFonts w:hint="eastAsia" w:ascii="宋体" w:hAnsi="宋体" w:eastAsia="宋体" w:cs="宋体"/>
                <w:b/>
                <w:color w:val="auto"/>
                <w:sz w:val="21"/>
                <w:szCs w:val="21"/>
                <w:highlight w:val="none"/>
              </w:rPr>
              <w:t>合同等业绩证明材料</w:t>
            </w:r>
            <w:r>
              <w:rPr>
                <w:rFonts w:hint="eastAsia" w:ascii="宋体" w:hAnsi="宋体" w:eastAsia="宋体" w:cs="宋体"/>
                <w:b/>
                <w:color w:val="auto"/>
                <w:sz w:val="21"/>
                <w:szCs w:val="21"/>
                <w:highlight w:val="none"/>
                <w:lang w:val="en-US" w:eastAsia="zh-CN"/>
              </w:rPr>
              <w:t>无法</w:t>
            </w:r>
            <w:r>
              <w:rPr>
                <w:rFonts w:hint="eastAsia" w:ascii="宋体" w:hAnsi="宋体" w:eastAsia="宋体" w:cs="宋体"/>
                <w:b/>
                <w:color w:val="auto"/>
                <w:sz w:val="21"/>
                <w:szCs w:val="21"/>
                <w:highlight w:val="none"/>
              </w:rPr>
              <w:t>反映评分条件[合同签订日期为202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年1月1日或以后，合同标的必须为</w:t>
            </w:r>
            <w:r>
              <w:rPr>
                <w:rFonts w:hint="eastAsia" w:ascii="宋体" w:hAnsi="宋体" w:eastAsia="宋体" w:cs="宋体"/>
                <w:b/>
                <w:color w:val="auto"/>
                <w:szCs w:val="21"/>
                <w:highlight w:val="none"/>
              </w:rPr>
              <w:t>概算编制</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概算审核</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预算(或招标控制价)编制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预算(或招标控制价)审核</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结算编制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结算审核</w:t>
            </w:r>
            <w:r>
              <w:rPr>
                <w:rFonts w:hint="eastAsia" w:ascii="宋体" w:hAnsi="宋体" w:eastAsia="宋体" w:cs="宋体"/>
                <w:b/>
                <w:color w:val="auto"/>
                <w:sz w:val="21"/>
                <w:szCs w:val="21"/>
                <w:highlight w:val="none"/>
              </w:rPr>
              <w:t>业绩</w:t>
            </w:r>
            <w:r>
              <w:rPr>
                <w:rFonts w:hint="eastAsia" w:ascii="宋体" w:hAnsi="宋体" w:eastAsia="宋体" w:cs="宋体"/>
                <w:b/>
                <w:color w:val="auto"/>
                <w:sz w:val="21"/>
                <w:szCs w:val="21"/>
                <w:highlight w:val="none"/>
                <w:lang w:val="en-US" w:eastAsia="zh-CN"/>
              </w:rPr>
              <w:t>或货物、服务类造价咨询业绩</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的</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还</w:t>
            </w:r>
            <w:r>
              <w:rPr>
                <w:rFonts w:hint="eastAsia" w:ascii="宋体" w:hAnsi="宋体" w:eastAsia="宋体" w:cs="宋体"/>
                <w:b/>
                <w:color w:val="auto"/>
                <w:sz w:val="21"/>
                <w:szCs w:val="21"/>
                <w:highlight w:val="none"/>
              </w:rPr>
              <w:t>需同时提供业主</w:t>
            </w:r>
            <w:r>
              <w:rPr>
                <w:rFonts w:hint="eastAsia" w:ascii="宋体" w:hAnsi="宋体" w:eastAsia="宋体" w:cs="宋体"/>
                <w:b/>
                <w:color w:val="auto"/>
                <w:sz w:val="21"/>
                <w:szCs w:val="21"/>
                <w:highlight w:val="none"/>
                <w:lang w:val="en-US" w:eastAsia="zh-CN"/>
              </w:rPr>
              <w:t>方</w:t>
            </w:r>
            <w:r>
              <w:rPr>
                <w:rFonts w:hint="eastAsia" w:ascii="宋体" w:hAnsi="宋体" w:eastAsia="宋体" w:cs="宋体"/>
                <w:b/>
                <w:color w:val="auto"/>
                <w:sz w:val="21"/>
                <w:szCs w:val="21"/>
                <w:highlight w:val="none"/>
              </w:rPr>
              <w:t>出具的书面补充情况说明文件复印件</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shd w:val="clear" w:color="auto" w:fill="FFFFFF"/>
              </w:rPr>
              <w:t>补充情况说明文件复印件能显示</w:t>
            </w:r>
            <w:r>
              <w:rPr>
                <w:rFonts w:hint="eastAsia" w:ascii="宋体" w:hAnsi="宋体" w:eastAsia="宋体" w:cs="宋体"/>
                <w:b/>
                <w:bCs/>
                <w:color w:val="auto"/>
                <w:szCs w:val="21"/>
                <w:highlight w:val="none"/>
                <w:shd w:val="clear" w:color="auto" w:fill="FFFFFF"/>
                <w:lang w:val="en-US" w:eastAsia="zh-CN"/>
              </w:rPr>
              <w:t>业主</w:t>
            </w:r>
            <w:r>
              <w:rPr>
                <w:rFonts w:hint="eastAsia" w:ascii="宋体" w:hAnsi="宋体" w:eastAsia="宋体" w:cs="宋体"/>
                <w:b/>
                <w:bCs/>
                <w:color w:val="auto"/>
                <w:szCs w:val="21"/>
                <w:highlight w:val="none"/>
                <w:shd w:val="clear" w:color="auto" w:fill="FFFFFF"/>
              </w:rPr>
              <w:t>方公章</w:t>
            </w:r>
            <w:r>
              <w:rPr>
                <w:rFonts w:hint="eastAsia" w:ascii="宋体" w:hAnsi="宋体" w:eastAsia="宋体" w:cs="宋体"/>
                <w:b/>
                <w:color w:val="auto"/>
                <w:szCs w:val="21"/>
                <w:highlight w:val="none"/>
              </w:rPr>
              <w:t>），否则不得分</w:t>
            </w:r>
            <w:r>
              <w:rPr>
                <w:rFonts w:hint="eastAsia" w:ascii="宋体" w:hAnsi="宋体" w:eastAsia="宋体" w:cs="宋体"/>
                <w:b/>
                <w:color w:val="auto"/>
                <w:sz w:val="21"/>
                <w:szCs w:val="21"/>
                <w:highlight w:val="none"/>
              </w:rPr>
              <w:t>；</w:t>
            </w:r>
          </w:p>
          <w:p w14:paraId="41C1009D">
            <w:pPr>
              <w:pStyle w:val="128"/>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若业绩合同为框架式协议或资格入围的，须同时提供</w:t>
            </w:r>
            <w:r>
              <w:rPr>
                <w:rFonts w:hint="eastAsia" w:ascii="宋体" w:hAnsi="宋体" w:eastAsia="宋体" w:cs="宋体"/>
                <w:b/>
                <w:bCs/>
                <w:color w:val="auto"/>
                <w:sz w:val="21"/>
                <w:szCs w:val="21"/>
                <w:highlight w:val="none"/>
                <w:lang w:val="en-US" w:eastAsia="zh-CN"/>
              </w:rPr>
              <w:t>框架协议合同（或资格入围合同）</w:t>
            </w:r>
            <w:r>
              <w:rPr>
                <w:rFonts w:hint="eastAsia" w:ascii="宋体" w:hAnsi="宋体" w:eastAsia="宋体" w:cs="宋体"/>
                <w:b/>
                <w:bCs/>
                <w:color w:val="auto"/>
                <w:sz w:val="21"/>
                <w:szCs w:val="21"/>
                <w:highlight w:val="none"/>
                <w:lang w:val="zh-CN"/>
              </w:rPr>
              <w:t>及合同期内对应的项目成果文件，按成果文件数量计算得分；</w:t>
            </w:r>
          </w:p>
          <w:p w14:paraId="62B99E49">
            <w:pPr>
              <w:pStyle w:val="128"/>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（4）若一个合同中同时包括概算编制、概算审核、预算(或招标控制价)编制、预算(或招标控制价)审核、结算编制和结算审核业绩的仅按一个业绩计算；</w:t>
            </w:r>
          </w:p>
          <w:p w14:paraId="5EA5F386">
            <w:pPr>
              <w:pStyle w:val="128"/>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rPr>
              <w:t>）业绩不重复计算，由投标人自行放入对应的评分子项；</w:t>
            </w:r>
          </w:p>
          <w:p w14:paraId="56DFF6F7">
            <w:pPr>
              <w:pStyle w:val="128"/>
              <w:keepNext w:val="0"/>
              <w:keepLines w:val="0"/>
              <w:numPr>
                <w:ilvl w:val="0"/>
                <w:numId w:val="0"/>
              </w:numPr>
              <w:suppressLineNumbers w:val="0"/>
              <w:adjustRightInd/>
              <w:spacing w:before="0" w:beforeAutospacing="0" w:after="0" w:afterAutospacing="0" w:line="360" w:lineRule="auto"/>
              <w:ind w:left="0" w:leftChars="0" w:right="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单独编制/审核的工程服务费用（</w:t>
            </w:r>
            <w:r>
              <w:rPr>
                <w:rFonts w:hint="default" w:ascii="宋体" w:hAnsi="宋体" w:eastAsia="宋体" w:cs="宋体"/>
                <w:b/>
                <w:bCs/>
                <w:color w:val="auto"/>
                <w:szCs w:val="21"/>
                <w:highlight w:val="none"/>
                <w:lang w:val="en-US"/>
              </w:rPr>
              <w:t>指</w:t>
            </w:r>
            <w:r>
              <w:rPr>
                <w:rFonts w:hint="eastAsia" w:ascii="宋体" w:hAnsi="宋体" w:eastAsia="宋体" w:cs="宋体"/>
                <w:b/>
                <w:bCs/>
                <w:color w:val="auto"/>
                <w:szCs w:val="21"/>
                <w:highlight w:val="none"/>
              </w:rPr>
              <w:t>工程监理费、勘察设计费、环境影响评价费等</w:t>
            </w:r>
            <w:r>
              <w:rPr>
                <w:rFonts w:hint="eastAsia" w:ascii="宋体" w:hAnsi="宋体" w:eastAsia="宋体" w:cs="宋体"/>
                <w:b/>
                <w:bCs/>
                <w:color w:val="auto"/>
                <w:szCs w:val="21"/>
                <w:highlight w:val="none"/>
                <w:lang w:val="en-US" w:eastAsia="zh-CN"/>
              </w:rPr>
              <w:t>建筑安装工程费用以外的服务费用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概算/预算/结算</w:t>
            </w:r>
            <w:r>
              <w:rPr>
                <w:rFonts w:hint="eastAsia" w:ascii="宋体" w:hAnsi="宋体" w:eastAsia="宋体" w:cs="宋体"/>
                <w:b/>
                <w:bCs/>
                <w:color w:val="auto"/>
                <w:sz w:val="21"/>
                <w:szCs w:val="21"/>
                <w:highlight w:val="none"/>
                <w:lang w:val="en-US" w:eastAsia="zh-CN"/>
              </w:rPr>
              <w:t>业绩，按服务类造价咨询业绩计算；</w:t>
            </w:r>
          </w:p>
          <w:p w14:paraId="27AD26A4">
            <w:pPr>
              <w:pStyle w:val="128"/>
              <w:keepNext w:val="0"/>
              <w:keepLines w:val="0"/>
              <w:numPr>
                <w:ilvl w:val="0"/>
                <w:numId w:val="0"/>
              </w:numPr>
              <w:suppressLineNumbers w:val="0"/>
              <w:adjustRightInd/>
              <w:spacing w:before="0" w:beforeAutospacing="0" w:after="0" w:afterAutospacing="0" w:line="360" w:lineRule="auto"/>
              <w:ind w:left="0" w:leftChars="0" w:right="0"/>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rPr>
              <w:t>（7）</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2400CBA5">
            <w:pPr>
              <w:keepNext w:val="0"/>
              <w:keepLines w:val="0"/>
              <w:suppressLineNumbers w:val="0"/>
              <w:adjustRightInd/>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17分</w:t>
            </w:r>
          </w:p>
        </w:tc>
      </w:tr>
    </w:tbl>
    <w:p w14:paraId="145055AD">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38D8660D">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7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14:paraId="2E45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AED156">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22272FF">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69E06874">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BD76DCD">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FA8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890EE6F">
            <w:pPr>
              <w:keepNext w:val="0"/>
              <w:keepLines w:val="0"/>
              <w:suppressLineNumbers w:val="0"/>
              <w:spacing w:before="0" w:beforeLines="0" w:beforeAutospacing="0" w:after="0" w:afterAutospacing="0" w:line="360" w:lineRule="auto"/>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EC4B12C">
            <w:pPr>
              <w:keepNext w:val="0"/>
              <w:keepLines w:val="0"/>
              <w:suppressLineNumbers w:val="0"/>
              <w:adjustRightInd w:val="0"/>
              <w:snapToGrid/>
              <w:spacing w:before="0" w:beforeLines="0" w:beforeAutospacing="0" w:after="0" w:afterAutospacing="0" w:line="360" w:lineRule="auto"/>
              <w:ind w:left="0" w:leftChars="0" w:right="0" w:rightChars="0"/>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用户需求的响应程度</w:t>
            </w:r>
          </w:p>
        </w:tc>
        <w:tc>
          <w:tcPr>
            <w:tcW w:w="3692" w:type="pct"/>
            <w:tcBorders>
              <w:top w:val="single" w:color="auto" w:sz="4" w:space="0"/>
              <w:left w:val="single" w:color="auto" w:sz="4" w:space="0"/>
              <w:bottom w:val="single" w:color="auto" w:sz="4" w:space="0"/>
              <w:right w:val="single" w:color="auto" w:sz="4" w:space="0"/>
            </w:tcBorders>
            <w:vAlign w:val="center"/>
          </w:tcPr>
          <w:p w14:paraId="60A695C1">
            <w:pPr>
              <w:keepNext w:val="0"/>
              <w:keepLines w:val="0"/>
              <w:suppressLineNumbers w:val="0"/>
              <w:spacing w:before="0" w:beforeLines="0" w:beforeAutospacing="0" w:after="0" w:afterAutospacing="0" w:line="360" w:lineRule="auto"/>
              <w:ind w:left="0" w:leftChars="0" w:right="0"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根据</w:t>
            </w:r>
            <w:r>
              <w:rPr>
                <w:rFonts w:hint="eastAsia" w:ascii="宋体" w:hAnsi="宋体" w:eastAsia="宋体" w:cs="宋体"/>
                <w:color w:val="auto"/>
                <w:szCs w:val="21"/>
                <w:highlight w:val="none"/>
                <w:lang w:val="zh-CN"/>
              </w:rPr>
              <w:t>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0FD359DD">
            <w:pPr>
              <w:keepNext w:val="0"/>
              <w:keepLines w:val="0"/>
              <w:suppressLineNumbers w:val="0"/>
              <w:spacing w:before="0" w:beforeLines="0" w:beforeAutospacing="0" w:after="0" w:afterAutospacing="0" w:line="360" w:lineRule="auto"/>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tc>
      </w:tr>
      <w:tr w14:paraId="6BEA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4C6E700">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bCs/>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53527E22">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Cs/>
                <w:color w:val="auto"/>
                <w:sz w:val="21"/>
                <w:szCs w:val="21"/>
                <w:highlight w:val="none"/>
                <w:lang w:val="en-US" w:eastAsia="zh-CN"/>
              </w:rPr>
              <w:t>组织管理及工作流程</w:t>
            </w:r>
          </w:p>
        </w:tc>
        <w:tc>
          <w:tcPr>
            <w:tcW w:w="3692" w:type="pct"/>
            <w:tcBorders>
              <w:top w:val="single" w:color="auto" w:sz="4" w:space="0"/>
              <w:left w:val="single" w:color="auto" w:sz="4" w:space="0"/>
              <w:bottom w:val="single" w:color="auto" w:sz="4" w:space="0"/>
              <w:right w:val="single" w:color="auto" w:sz="4" w:space="0"/>
            </w:tcBorders>
            <w:vAlign w:val="center"/>
          </w:tcPr>
          <w:p w14:paraId="132D8D28">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对</w:t>
            </w:r>
            <w:r>
              <w:rPr>
                <w:rFonts w:hint="eastAsia" w:ascii="宋体" w:hAnsi="宋体" w:eastAsia="宋体" w:cs="宋体"/>
                <w:b/>
                <w:bCs w:val="0"/>
                <w:color w:val="auto"/>
                <w:sz w:val="21"/>
                <w:szCs w:val="21"/>
                <w:highlight w:val="none"/>
              </w:rPr>
              <w:t>各投标人</w:t>
            </w:r>
            <w:r>
              <w:rPr>
                <w:rFonts w:hint="eastAsia" w:ascii="宋体" w:hAnsi="宋体" w:eastAsia="宋体" w:cs="宋体"/>
                <w:b/>
                <w:bCs w:val="0"/>
                <w:color w:val="auto"/>
                <w:sz w:val="21"/>
                <w:szCs w:val="21"/>
                <w:highlight w:val="none"/>
                <w:lang w:val="en-US" w:eastAsia="zh-CN"/>
              </w:rPr>
              <w:t>的项目组织管理架构及</w:t>
            </w:r>
            <w:r>
              <w:rPr>
                <w:rFonts w:hint="eastAsia" w:ascii="宋体" w:hAnsi="宋体" w:eastAsia="宋体" w:cs="宋体"/>
                <w:b/>
                <w:bCs w:val="0"/>
                <w:color w:val="auto"/>
                <w:sz w:val="21"/>
                <w:szCs w:val="21"/>
                <w:highlight w:val="none"/>
              </w:rPr>
              <w:t>造价咨询的工作流程进行评审：</w:t>
            </w:r>
          </w:p>
          <w:p w14:paraId="19759DD3">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sz w:val="21"/>
                <w:szCs w:val="21"/>
                <w:highlight w:val="none"/>
                <w:lang w:val="en-US" w:eastAsia="zh-CN"/>
              </w:rPr>
              <w:t>投标人组建的项目组织管理架构严谨，建立有效的内部组织管理和外部组织管理体系，项目人员职责及分工明确；</w:t>
            </w:r>
            <w:r>
              <w:rPr>
                <w:rFonts w:hint="eastAsia" w:ascii="宋体" w:hAnsi="宋体" w:eastAsia="宋体" w:cs="宋体"/>
                <w:bCs/>
                <w:color w:val="auto"/>
                <w:sz w:val="21"/>
                <w:szCs w:val="21"/>
                <w:highlight w:val="none"/>
              </w:rPr>
              <w:t>造价咨询工作流程科学合理、清晰明确，各个环节紧密衔接；每一个步骤都有详细的操作规范和质量控制措施，确保造价咨询结果的准确性和可靠性能够高效地完成项目任务，得[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612238F5">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良：投标人组建的项目组织管理架构</w:t>
            </w:r>
            <w:r>
              <w:rPr>
                <w:rFonts w:hint="eastAsia" w:ascii="宋体" w:hAnsi="宋体" w:eastAsia="宋体" w:cs="宋体"/>
                <w:b w:val="0"/>
                <w:bCs/>
                <w:color w:val="auto"/>
                <w:sz w:val="21"/>
                <w:szCs w:val="21"/>
                <w:highlight w:val="none"/>
                <w:lang w:val="en-US" w:eastAsia="zh-CN"/>
              </w:rPr>
              <w:t>较为严谨</w:t>
            </w:r>
            <w:r>
              <w:rPr>
                <w:rFonts w:hint="eastAsia" w:ascii="宋体" w:hAnsi="宋体" w:eastAsia="宋体" w:cs="宋体"/>
                <w:b w:val="0"/>
                <w:bCs/>
                <w:color w:val="auto"/>
                <w:sz w:val="21"/>
                <w:szCs w:val="21"/>
                <w:highlight w:val="none"/>
              </w:rPr>
              <w:t>，内部组织管理和外部组织管理体系</w:t>
            </w:r>
            <w:r>
              <w:rPr>
                <w:rFonts w:hint="eastAsia" w:ascii="宋体" w:hAnsi="宋体" w:eastAsia="宋体" w:cs="宋体"/>
                <w:b w:val="0"/>
                <w:bCs/>
                <w:color w:val="auto"/>
                <w:sz w:val="21"/>
                <w:szCs w:val="21"/>
                <w:highlight w:val="none"/>
                <w:lang w:val="en-US" w:eastAsia="zh-CN"/>
              </w:rPr>
              <w:t>较为松散</w:t>
            </w:r>
            <w:r>
              <w:rPr>
                <w:rFonts w:hint="eastAsia" w:ascii="宋体" w:hAnsi="宋体" w:eastAsia="宋体" w:cs="宋体"/>
                <w:b w:val="0"/>
                <w:bCs/>
                <w:color w:val="auto"/>
                <w:sz w:val="21"/>
                <w:szCs w:val="21"/>
                <w:highlight w:val="none"/>
              </w:rPr>
              <w:t>，项目人员职责及分工</w:t>
            </w:r>
            <w:r>
              <w:rPr>
                <w:rFonts w:hint="eastAsia" w:ascii="宋体" w:hAnsi="宋体" w:eastAsia="宋体" w:cs="宋体"/>
                <w:b w:val="0"/>
                <w:bCs/>
                <w:color w:val="auto"/>
                <w:sz w:val="21"/>
                <w:szCs w:val="21"/>
                <w:highlight w:val="none"/>
                <w:lang w:val="en-US" w:eastAsia="zh-CN"/>
              </w:rPr>
              <w:t>较为</w:t>
            </w:r>
            <w:r>
              <w:rPr>
                <w:rFonts w:hint="eastAsia" w:ascii="宋体" w:hAnsi="宋体" w:eastAsia="宋体" w:cs="宋体"/>
                <w:b w:val="0"/>
                <w:bCs/>
                <w:color w:val="auto"/>
                <w:sz w:val="21"/>
                <w:szCs w:val="21"/>
                <w:highlight w:val="none"/>
              </w:rPr>
              <w:t>明确；</w:t>
            </w:r>
            <w:r>
              <w:rPr>
                <w:rFonts w:hint="eastAsia" w:ascii="宋体" w:hAnsi="宋体" w:eastAsia="宋体" w:cs="宋体"/>
                <w:bCs/>
                <w:color w:val="auto"/>
                <w:sz w:val="21"/>
                <w:szCs w:val="21"/>
                <w:highlight w:val="none"/>
              </w:rPr>
              <w:t>造价咨询工作流程较为规范，基本能够满足造价咨询的要求，在主要环节上有一定的操作流程和质量把控，得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1EDA7C28">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中：投标人组建的项目组织管理架构</w:t>
            </w:r>
            <w:r>
              <w:rPr>
                <w:rFonts w:hint="eastAsia" w:ascii="宋体" w:hAnsi="宋体" w:eastAsia="宋体" w:cs="宋体"/>
                <w:b w:val="0"/>
                <w:bCs/>
                <w:color w:val="auto"/>
                <w:sz w:val="21"/>
                <w:szCs w:val="21"/>
                <w:highlight w:val="none"/>
                <w:lang w:val="en-US" w:eastAsia="zh-CN"/>
              </w:rPr>
              <w:t>缺乏条理，</w:t>
            </w:r>
            <w:r>
              <w:rPr>
                <w:rFonts w:hint="eastAsia" w:ascii="宋体" w:hAnsi="宋体" w:eastAsia="宋体" w:cs="宋体"/>
                <w:b w:val="0"/>
                <w:bCs/>
                <w:color w:val="auto"/>
                <w:sz w:val="21"/>
                <w:szCs w:val="21"/>
                <w:highlight w:val="none"/>
              </w:rPr>
              <w:t>内部组织管理和外部组织管理体系</w:t>
            </w:r>
            <w:r>
              <w:rPr>
                <w:rFonts w:hint="eastAsia" w:ascii="宋体" w:hAnsi="宋体" w:eastAsia="宋体" w:cs="宋体"/>
                <w:b w:val="0"/>
                <w:bCs/>
                <w:color w:val="auto"/>
                <w:sz w:val="21"/>
                <w:szCs w:val="21"/>
                <w:highlight w:val="none"/>
                <w:lang w:val="en-US" w:eastAsia="zh-CN"/>
              </w:rPr>
              <w:t>不清晰，项目人员</w:t>
            </w:r>
            <w:r>
              <w:rPr>
                <w:rFonts w:hint="eastAsia" w:ascii="宋体" w:hAnsi="宋体" w:eastAsia="宋体" w:cs="宋体"/>
                <w:b w:val="0"/>
                <w:bCs/>
                <w:color w:val="auto"/>
                <w:sz w:val="21"/>
                <w:szCs w:val="21"/>
                <w:highlight w:val="none"/>
              </w:rPr>
              <w:t>职责及分工</w:t>
            </w:r>
            <w:r>
              <w:rPr>
                <w:rFonts w:hint="eastAsia" w:ascii="宋体" w:hAnsi="宋体" w:eastAsia="宋体" w:cs="宋体"/>
                <w:b w:val="0"/>
                <w:bCs/>
                <w:color w:val="auto"/>
                <w:sz w:val="21"/>
                <w:szCs w:val="21"/>
                <w:highlight w:val="none"/>
                <w:lang w:val="en-US" w:eastAsia="zh-CN"/>
              </w:rPr>
              <w:t>模糊；</w:t>
            </w:r>
            <w:r>
              <w:rPr>
                <w:rFonts w:hint="eastAsia" w:ascii="宋体" w:hAnsi="宋体" w:eastAsia="宋体" w:cs="宋体"/>
                <w:bCs/>
                <w:color w:val="auto"/>
                <w:sz w:val="21"/>
                <w:szCs w:val="21"/>
                <w:highlight w:val="none"/>
              </w:rPr>
              <w:t>造价咨询工作流程存在一定的合理性，但在部分环节上不够清晰或缺乏有效的质量控制手段，得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7EACCEE9">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both"/>
              <w:textAlignment w:val="auto"/>
              <w:rPr>
                <w:rFonts w:hint="eastAsia" w:ascii="宋体" w:hAnsi="宋体" w:eastAsia="宋体" w:cs="宋体"/>
                <w:color w:val="auto"/>
                <w:kern w:val="0"/>
                <w:szCs w:val="21"/>
                <w:highlight w:val="none"/>
              </w:rPr>
            </w:pPr>
            <w:r>
              <w:rPr>
                <w:rFonts w:hint="eastAsia" w:ascii="宋体" w:hAnsi="宋体" w:eastAsia="宋体" w:cs="宋体"/>
                <w:b w:val="0"/>
                <w:bCs/>
                <w:color w:val="auto"/>
                <w:sz w:val="21"/>
                <w:szCs w:val="21"/>
                <w:highlight w:val="none"/>
              </w:rPr>
              <w:t>差：投标人组建的项目组织管理架构</w:t>
            </w:r>
            <w:r>
              <w:rPr>
                <w:rFonts w:hint="eastAsia" w:ascii="宋体" w:hAnsi="宋体" w:eastAsia="宋体" w:cs="宋体"/>
                <w:b w:val="0"/>
                <w:bCs/>
                <w:color w:val="auto"/>
                <w:sz w:val="21"/>
                <w:szCs w:val="21"/>
                <w:highlight w:val="none"/>
                <w:lang w:val="en-US" w:eastAsia="zh-CN"/>
              </w:rPr>
              <w:t>协调性差，缺乏</w:t>
            </w:r>
            <w:r>
              <w:rPr>
                <w:rFonts w:hint="eastAsia" w:ascii="宋体" w:hAnsi="宋体" w:eastAsia="宋体" w:cs="宋体"/>
                <w:b w:val="0"/>
                <w:bCs/>
                <w:color w:val="auto"/>
                <w:sz w:val="21"/>
                <w:szCs w:val="21"/>
                <w:highlight w:val="none"/>
              </w:rPr>
              <w:t>内部组织管理和外部组织管理体系，项目人员职责及分工</w:t>
            </w:r>
            <w:r>
              <w:rPr>
                <w:rFonts w:hint="eastAsia" w:ascii="宋体" w:hAnsi="宋体" w:eastAsia="宋体" w:cs="宋体"/>
                <w:b w:val="0"/>
                <w:bCs/>
                <w:color w:val="auto"/>
                <w:sz w:val="21"/>
                <w:szCs w:val="21"/>
                <w:highlight w:val="none"/>
                <w:lang w:val="en-US" w:eastAsia="zh-CN"/>
              </w:rPr>
              <w:t>混乱</w:t>
            </w:r>
            <w:r>
              <w:rPr>
                <w:rFonts w:hint="eastAsia" w:ascii="宋体" w:hAnsi="宋体" w:eastAsia="宋体" w:cs="宋体"/>
                <w:b w:val="0"/>
                <w:bCs/>
                <w:color w:val="auto"/>
                <w:sz w:val="21"/>
                <w:szCs w:val="21"/>
                <w:highlight w:val="none"/>
                <w:lang w:eastAsia="zh-CN"/>
              </w:rPr>
              <w:t>；</w:t>
            </w:r>
            <w:r>
              <w:rPr>
                <w:rFonts w:hint="eastAsia" w:ascii="宋体" w:hAnsi="宋体" w:eastAsia="宋体" w:cs="宋体"/>
                <w:bCs/>
                <w:color w:val="auto"/>
                <w:sz w:val="21"/>
                <w:szCs w:val="21"/>
                <w:highlight w:val="none"/>
              </w:rPr>
              <w:t>造价咨询工作流程混乱，缺乏系统性和规范性，得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2D706A8C">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b/>
                <w:color w:val="auto"/>
                <w:kern w:val="0"/>
                <w:szCs w:val="21"/>
                <w:highlight w:val="none"/>
                <w:lang w:val="en-US" w:eastAsia="zh-CN"/>
              </w:rPr>
            </w:pPr>
            <w:r>
              <w:rPr>
                <w:rFonts w:hint="eastAsia" w:ascii="宋体" w:hAnsi="宋体" w:eastAsia="宋体" w:cs="宋体"/>
                <w:b w:val="0"/>
                <w:bCs/>
                <w:color w:val="auto"/>
                <w:sz w:val="21"/>
                <w:szCs w:val="21"/>
                <w:highlight w:val="none"/>
                <w:lang w:val="en-US" w:eastAsia="zh-CN"/>
              </w:rPr>
              <w:t>4分</w:t>
            </w:r>
          </w:p>
        </w:tc>
      </w:tr>
      <w:tr w14:paraId="090B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E324F78">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bCs/>
                <w:color w:val="auto"/>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6017A10D">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进度保障</w:t>
            </w:r>
          </w:p>
        </w:tc>
        <w:tc>
          <w:tcPr>
            <w:tcW w:w="3692" w:type="pct"/>
            <w:tcBorders>
              <w:top w:val="single" w:color="auto" w:sz="4" w:space="0"/>
              <w:left w:val="single" w:color="auto" w:sz="4" w:space="0"/>
              <w:bottom w:val="single" w:color="auto" w:sz="4" w:space="0"/>
              <w:right w:val="single" w:color="auto" w:sz="4" w:space="0"/>
            </w:tcBorders>
            <w:vAlign w:val="center"/>
          </w:tcPr>
          <w:p w14:paraId="3FEF9F80">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对各投标人在造价咨询委托业务实施过程中的进度保障措施方案进行评审：</w:t>
            </w:r>
          </w:p>
          <w:p w14:paraId="783ABBE3">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优：制定了详细的项目进度计划，将整个造价咨询委托业务分解为多个具体的阶段和任务，并明确了每个任务的时间节点和责任人，对项目进度进行实时监控和调整，确保项目始终按照计划顺利推进，得[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3]分</w:t>
            </w:r>
            <w:r>
              <w:rPr>
                <w:rFonts w:hint="eastAsia" w:ascii="宋体" w:hAnsi="宋体" w:eastAsia="宋体" w:cs="宋体"/>
                <w:bCs/>
                <w:color w:val="auto"/>
                <w:sz w:val="21"/>
                <w:szCs w:val="21"/>
                <w:highlight w:val="none"/>
              </w:rPr>
              <w:t>。</w:t>
            </w:r>
          </w:p>
          <w:p w14:paraId="36B26B22">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良：有较为清晰的项目进度规划，对各个阶段的任务和时间安排较为合理，对进度有一定的监控和调整能力，进度保障措施方案较为完善，得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2A4C42F5">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中：项目进度计划不够详细，任务分解不够明确，可能会导致执行过程中出现混乱，缺乏有效的监控和调整手段，对进度的把控能力较弱，得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6FBFAE13">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both"/>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差：没有明确的项目进度计划，没有任何有效的手段来监控和调整进度，得</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3B40BB7B">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val="0"/>
                <w:bCs/>
                <w:color w:val="auto"/>
                <w:sz w:val="21"/>
                <w:szCs w:val="21"/>
                <w:highlight w:val="none"/>
                <w:lang w:val="en-US" w:eastAsia="zh-CN"/>
              </w:rPr>
              <w:t>4分</w:t>
            </w:r>
          </w:p>
        </w:tc>
      </w:tr>
      <w:tr w14:paraId="0E26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249A9B6">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bCs/>
                <w:color w:val="auto"/>
                <w:sz w:val="21"/>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7E0DA86">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rPr>
              <w:t>质量跟踪及信息反馈机制</w:t>
            </w:r>
          </w:p>
        </w:tc>
        <w:tc>
          <w:tcPr>
            <w:tcW w:w="3692" w:type="pct"/>
            <w:tcBorders>
              <w:top w:val="single" w:color="auto" w:sz="4" w:space="0"/>
              <w:left w:val="single" w:color="auto" w:sz="4" w:space="0"/>
              <w:bottom w:val="single" w:color="auto" w:sz="4" w:space="0"/>
              <w:right w:val="single" w:color="auto" w:sz="4" w:space="0"/>
            </w:tcBorders>
            <w:vAlign w:val="center"/>
          </w:tcPr>
          <w:p w14:paraId="329A2A7B">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对</w:t>
            </w:r>
            <w:r>
              <w:rPr>
                <w:rFonts w:hint="eastAsia" w:ascii="宋体" w:hAnsi="宋体" w:eastAsia="宋体" w:cs="宋体"/>
                <w:b/>
                <w:bCs w:val="0"/>
                <w:color w:val="auto"/>
                <w:sz w:val="21"/>
                <w:szCs w:val="21"/>
                <w:highlight w:val="none"/>
              </w:rPr>
              <w:t>各投标人质量跟踪与信息反馈机制是否完善，问题分析是否到位，实施措施与渠道是否齐全合理</w:t>
            </w:r>
            <w:r>
              <w:rPr>
                <w:rFonts w:hint="eastAsia" w:ascii="宋体" w:hAnsi="宋体" w:eastAsia="宋体" w:cs="宋体"/>
                <w:b/>
                <w:bCs w:val="0"/>
                <w:color w:val="auto"/>
                <w:sz w:val="21"/>
                <w:szCs w:val="21"/>
                <w:highlight w:val="none"/>
                <w:lang w:val="en-US" w:eastAsia="zh-CN"/>
              </w:rPr>
              <w:t>等方面</w:t>
            </w:r>
            <w:r>
              <w:rPr>
                <w:rFonts w:hint="eastAsia" w:ascii="宋体" w:hAnsi="宋体" w:eastAsia="宋体" w:cs="宋体"/>
                <w:b/>
                <w:bCs w:val="0"/>
                <w:color w:val="auto"/>
                <w:sz w:val="21"/>
                <w:szCs w:val="21"/>
                <w:highlight w:val="none"/>
              </w:rPr>
              <w:t>进行评审</w:t>
            </w:r>
            <w:r>
              <w:rPr>
                <w:rFonts w:hint="eastAsia" w:ascii="宋体" w:hAnsi="宋体" w:eastAsia="宋体" w:cs="宋体"/>
                <w:b/>
                <w:bCs w:val="0"/>
                <w:color w:val="auto"/>
                <w:sz w:val="21"/>
                <w:szCs w:val="21"/>
                <w:highlight w:val="none"/>
                <w:lang w:eastAsia="zh-CN"/>
              </w:rPr>
              <w:t>：</w:t>
            </w:r>
          </w:p>
          <w:p w14:paraId="35FD8E99">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优：</w:t>
            </w:r>
            <w:r>
              <w:rPr>
                <w:rFonts w:hint="eastAsia" w:ascii="宋体" w:hAnsi="宋体" w:eastAsia="宋体" w:cs="宋体"/>
                <w:bCs/>
                <w:color w:val="auto"/>
                <w:sz w:val="21"/>
                <w:szCs w:val="21"/>
                <w:highlight w:val="none"/>
              </w:rPr>
              <w:t>投标人具备完善的质量跟踪与信息反馈机制。建立了专门的质量跟踪团队，对项目实施全过程进行严格监控，能够及时发现并解决问题，对问题的分析深入到位。能够迅速准确地识别问题的本质和根源，运用专业知识和经验进行全面分析，提出具有针对性和可操作性的解决方案，实施措施与渠道丰富齐全且合理，得</w:t>
            </w:r>
            <w:r>
              <w:rPr>
                <w:rFonts w:hint="eastAsia" w:ascii="宋体" w:hAnsi="宋体" w:eastAsia="宋体" w:cs="宋体"/>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Cs/>
                <w:color w:val="auto"/>
                <w:szCs w:val="21"/>
                <w:highlight w:val="none"/>
                <w:lang w:eastAsia="zh-CN"/>
              </w:rPr>
              <w:t>分</w:t>
            </w:r>
            <w:r>
              <w:rPr>
                <w:rFonts w:hint="eastAsia" w:ascii="宋体" w:hAnsi="宋体" w:eastAsia="宋体" w:cs="宋体"/>
                <w:bCs/>
                <w:color w:val="auto"/>
                <w:sz w:val="21"/>
                <w:szCs w:val="21"/>
                <w:highlight w:val="none"/>
              </w:rPr>
              <w:t>。</w:t>
            </w:r>
          </w:p>
          <w:p w14:paraId="4AA991AF">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良：</w:t>
            </w:r>
            <w:r>
              <w:rPr>
                <w:rFonts w:hint="eastAsia" w:ascii="宋体" w:hAnsi="宋体" w:eastAsia="宋体" w:cs="宋体"/>
                <w:bCs/>
                <w:color w:val="auto"/>
                <w:sz w:val="21"/>
                <w:szCs w:val="21"/>
                <w:highlight w:val="none"/>
              </w:rPr>
              <w:t>质量跟踪与信息反馈机制较为完善。有明确的质量跟踪流程和责任人，能够对项目关键节点进行有效监控，对问题分析较为准确。能够在一定程度上识别问题的关键所在，进行较为合理的分析并提出解决方案，实施措施与渠道较为齐全合理，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14:paraId="5D929F64">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中：</w:t>
            </w:r>
            <w:r>
              <w:rPr>
                <w:rFonts w:hint="eastAsia" w:ascii="宋体" w:hAnsi="宋体" w:eastAsia="宋体" w:cs="宋体"/>
                <w:bCs/>
                <w:color w:val="auto"/>
                <w:sz w:val="21"/>
                <w:szCs w:val="21"/>
                <w:highlight w:val="none"/>
              </w:rPr>
              <w:t>质量跟踪与信息反馈机制有一定基础，但存在一些不足。质量跟踪的力度和频率不够，可能会遗漏一些问题，对问题分析能力一般。能够发现问题，但在分析过程中不够深入，解决方案的针对性不强，实施措施与渠道有一定基础，但不够完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49463861">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both"/>
              <w:textAlignment w:val="auto"/>
              <w:rPr>
                <w:rFonts w:hint="eastAsia" w:ascii="宋体" w:hAnsi="宋体" w:eastAsia="宋体" w:cs="宋体"/>
                <w:color w:val="auto"/>
                <w:highlight w:val="none"/>
                <w:lang w:eastAsia="zh-CN"/>
              </w:rPr>
            </w:pPr>
            <w:r>
              <w:rPr>
                <w:rFonts w:hint="eastAsia" w:ascii="宋体" w:hAnsi="宋体" w:eastAsia="宋体" w:cs="宋体"/>
                <w:b w:val="0"/>
                <w:bCs/>
                <w:color w:val="auto"/>
                <w:sz w:val="21"/>
                <w:szCs w:val="21"/>
                <w:highlight w:val="none"/>
              </w:rPr>
              <w:t>差：</w:t>
            </w:r>
            <w:r>
              <w:rPr>
                <w:rFonts w:hint="eastAsia" w:ascii="宋体" w:hAnsi="宋体" w:eastAsia="宋体" w:cs="宋体"/>
                <w:bCs/>
                <w:color w:val="auto"/>
                <w:sz w:val="21"/>
                <w:szCs w:val="21"/>
                <w:highlight w:val="none"/>
              </w:rPr>
              <w:t>质量跟踪与信息反馈机制不完善。缺乏有效的质量跟踪手段，信息反馈渠道不畅通，对问题分析不到位。难以准确识别问题的本质，分析过程混乱，提出的解决方案不切实际，没有明确的实施措施和渠道，得（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728DA967">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val="0"/>
                <w:bCs/>
                <w:color w:val="auto"/>
                <w:sz w:val="21"/>
                <w:szCs w:val="21"/>
                <w:highlight w:val="none"/>
                <w:lang w:val="en-US" w:eastAsia="zh-CN"/>
              </w:rPr>
              <w:t>4分</w:t>
            </w:r>
          </w:p>
        </w:tc>
      </w:tr>
      <w:tr w14:paraId="4ED1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8ACACDC">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bCs/>
                <w:color w:val="auto"/>
                <w:sz w:val="21"/>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045A15F3">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lang w:val="en-US" w:eastAsia="zh-CN"/>
              </w:rPr>
              <w:t>质量保证措施</w:t>
            </w:r>
          </w:p>
        </w:tc>
        <w:tc>
          <w:tcPr>
            <w:tcW w:w="3692" w:type="pct"/>
            <w:tcBorders>
              <w:top w:val="single" w:color="auto" w:sz="4" w:space="0"/>
              <w:left w:val="single" w:color="auto" w:sz="4" w:space="0"/>
              <w:bottom w:val="single" w:color="auto" w:sz="4" w:space="0"/>
              <w:right w:val="single" w:color="auto" w:sz="4" w:space="0"/>
            </w:tcBorders>
            <w:vAlign w:val="center"/>
          </w:tcPr>
          <w:p w14:paraId="17467F5F">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对各投标人</w:t>
            </w:r>
            <w:r>
              <w:rPr>
                <w:rFonts w:hint="eastAsia" w:ascii="宋体" w:hAnsi="宋体" w:eastAsia="宋体" w:cs="宋体"/>
                <w:b/>
                <w:bCs w:val="0"/>
                <w:color w:val="auto"/>
                <w:sz w:val="21"/>
                <w:szCs w:val="21"/>
                <w:highlight w:val="none"/>
                <w:lang w:val="en-US" w:eastAsia="zh-CN"/>
              </w:rPr>
              <w:t>的相关质量保证措施包括但不限于</w:t>
            </w:r>
            <w:r>
              <w:rPr>
                <w:rFonts w:hint="eastAsia" w:ascii="宋体" w:hAnsi="宋体" w:eastAsia="宋体" w:cs="宋体"/>
                <w:b/>
                <w:bCs w:val="0"/>
                <w:color w:val="auto"/>
                <w:sz w:val="21"/>
                <w:szCs w:val="21"/>
                <w:highlight w:val="none"/>
              </w:rPr>
              <w:t>是否能够承诺保证有足够的人力、物力等资源按时按质按量完成委托的造价咨询配合任务进行评审</w:t>
            </w:r>
            <w:r>
              <w:rPr>
                <w:rFonts w:hint="eastAsia" w:ascii="宋体" w:hAnsi="宋体" w:eastAsia="宋体" w:cs="宋体"/>
                <w:b/>
                <w:bCs w:val="0"/>
                <w:color w:val="auto"/>
                <w:sz w:val="21"/>
                <w:szCs w:val="21"/>
                <w:highlight w:val="none"/>
                <w:lang w:eastAsia="zh-CN"/>
              </w:rPr>
              <w:t>：</w:t>
            </w:r>
          </w:p>
          <w:p w14:paraId="6DABCE80">
            <w:pPr>
              <w:keepNext w:val="0"/>
              <w:keepLines w:val="0"/>
              <w:suppressLineNumbers w:val="0"/>
              <w:spacing w:before="0" w:beforeLines="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 w:val="0"/>
                <w:bCs/>
                <w:color w:val="auto"/>
                <w:szCs w:val="21"/>
                <w:highlight w:val="none"/>
                <w:lang w:eastAsia="zh-CN"/>
              </w:rPr>
              <w:t>优：</w:t>
            </w:r>
            <w:r>
              <w:rPr>
                <w:rFonts w:hint="eastAsia" w:ascii="宋体" w:hAnsi="宋体" w:eastAsia="宋体" w:cs="宋体"/>
                <w:bCs/>
                <w:color w:val="auto"/>
                <w:szCs w:val="21"/>
                <w:highlight w:val="none"/>
                <w:lang w:eastAsia="zh-CN"/>
              </w:rPr>
              <w:t>有充足的人力、物力等资源投入到委托的造价咨询配合任务中，拥有一支专业素质高、经验丰富的造价咨询团队，人员配备齐全，能够满足不同类型项目的需求；同时，具备先进的技术设备和软件工具，为高质量完成任务提供有力保障，得[</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1.5]</w:t>
            </w:r>
            <w:r>
              <w:rPr>
                <w:rFonts w:hint="eastAsia" w:ascii="宋体" w:hAnsi="宋体" w:eastAsia="宋体" w:cs="宋体"/>
                <w:bCs/>
                <w:color w:val="auto"/>
                <w:szCs w:val="21"/>
                <w:highlight w:val="none"/>
                <w:lang w:eastAsia="zh-CN"/>
              </w:rPr>
              <w:t>分。</w:t>
            </w:r>
          </w:p>
          <w:p w14:paraId="3E0607FA">
            <w:pPr>
              <w:keepNext w:val="0"/>
              <w:keepLines w:val="0"/>
              <w:suppressLineNumbers w:val="0"/>
              <w:spacing w:before="0" w:beforeLines="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 w:val="0"/>
                <w:bCs/>
                <w:color w:val="auto"/>
                <w:szCs w:val="21"/>
                <w:highlight w:val="none"/>
                <w:lang w:eastAsia="zh-CN"/>
              </w:rPr>
              <w:t>良：</w:t>
            </w:r>
            <w:r>
              <w:rPr>
                <w:rFonts w:hint="eastAsia" w:ascii="宋体" w:hAnsi="宋体" w:eastAsia="宋体" w:cs="宋体"/>
                <w:bCs/>
                <w:color w:val="auto"/>
                <w:szCs w:val="21"/>
                <w:highlight w:val="none"/>
                <w:lang w:eastAsia="zh-CN"/>
              </w:rPr>
              <w:t>有一定的人力、物力资源来完成造价咨询配合任务，团队成员具备较好的专业能力，技术设备和软件工具能够满足基本需求，得（</w:t>
            </w:r>
            <w:r>
              <w:rPr>
                <w:rFonts w:hint="eastAsia" w:ascii="宋体" w:hAnsi="宋体" w:eastAsia="宋体" w:cs="宋体"/>
                <w:b w:val="0"/>
                <w:bCs/>
                <w:color w:val="auto"/>
                <w:szCs w:val="21"/>
                <w:highlight w:val="none"/>
                <w:lang w:val="en-US" w:eastAsia="zh-CN"/>
              </w:rPr>
              <w:t>1.5</w:t>
            </w:r>
            <w:r>
              <w:rPr>
                <w:rFonts w:hint="eastAsia" w:ascii="宋体" w:hAnsi="宋体" w:eastAsia="宋体" w:cs="宋体"/>
                <w:b w:val="0"/>
                <w:bCs/>
                <w:color w:val="auto"/>
                <w:szCs w:val="21"/>
                <w:highlight w:val="none"/>
              </w:rPr>
              <w:t>-1</w:t>
            </w:r>
            <w:r>
              <w:rPr>
                <w:rFonts w:hint="eastAsia" w:ascii="宋体" w:hAnsi="宋体" w:eastAsia="宋体" w:cs="宋体"/>
                <w:b w:val="0"/>
                <w:bCs/>
                <w:color w:val="auto"/>
                <w:szCs w:val="21"/>
                <w:highlight w:val="none"/>
                <w:lang w:val="en-US" w:eastAsia="zh-CN"/>
              </w:rPr>
              <w:t>]</w:t>
            </w:r>
            <w:r>
              <w:rPr>
                <w:rFonts w:hint="eastAsia" w:ascii="宋体" w:hAnsi="宋体" w:eastAsia="宋体" w:cs="宋体"/>
                <w:bCs/>
                <w:color w:val="auto"/>
                <w:szCs w:val="21"/>
                <w:highlight w:val="none"/>
                <w:lang w:eastAsia="zh-CN"/>
              </w:rPr>
              <w:t>分。</w:t>
            </w:r>
          </w:p>
          <w:p w14:paraId="3812ED70">
            <w:pPr>
              <w:keepNext w:val="0"/>
              <w:keepLines w:val="0"/>
              <w:suppressLineNumbers w:val="0"/>
              <w:spacing w:before="0" w:beforeLines="0" w:beforeAutospacing="0" w:after="0" w:afterAutospacing="0" w:line="360" w:lineRule="auto"/>
              <w:ind w:left="0" w:right="0"/>
              <w:rPr>
                <w:rFonts w:hint="eastAsia" w:ascii="宋体" w:hAnsi="宋体" w:eastAsia="宋体" w:cs="宋体"/>
                <w:bCs/>
                <w:color w:val="auto"/>
                <w:szCs w:val="21"/>
                <w:highlight w:val="none"/>
                <w:lang w:eastAsia="zh-CN"/>
              </w:rPr>
            </w:pPr>
            <w:r>
              <w:rPr>
                <w:rFonts w:hint="eastAsia" w:ascii="宋体" w:hAnsi="宋体" w:eastAsia="宋体" w:cs="宋体"/>
                <w:b w:val="0"/>
                <w:bCs/>
                <w:color w:val="auto"/>
                <w:szCs w:val="21"/>
                <w:highlight w:val="none"/>
                <w:lang w:eastAsia="zh-CN"/>
              </w:rPr>
              <w:t>中：</w:t>
            </w:r>
            <w:r>
              <w:rPr>
                <w:rFonts w:hint="eastAsia" w:ascii="宋体" w:hAnsi="宋体" w:eastAsia="宋体" w:cs="宋体"/>
                <w:bCs/>
                <w:color w:val="auto"/>
                <w:szCs w:val="21"/>
                <w:highlight w:val="none"/>
                <w:lang w:eastAsia="zh-CN"/>
              </w:rPr>
              <w:t>人力、物力资源相对有限，可能在某些方面存在不足，团队的专业能力和经验参差不齐，技术设备和软件工具可能需要进一步更新和完善，得（</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0.5]</w:t>
            </w:r>
            <w:r>
              <w:rPr>
                <w:rFonts w:hint="eastAsia" w:ascii="宋体" w:hAnsi="宋体" w:eastAsia="宋体" w:cs="宋体"/>
                <w:bCs/>
                <w:color w:val="auto"/>
                <w:szCs w:val="21"/>
                <w:highlight w:val="none"/>
                <w:lang w:eastAsia="zh-CN"/>
              </w:rPr>
              <w:t>分。</w:t>
            </w:r>
          </w:p>
          <w:p w14:paraId="62032690">
            <w:pPr>
              <w:keepNext w:val="0"/>
              <w:keepLines w:val="0"/>
              <w:suppressLineNumbers w:val="0"/>
              <w:spacing w:before="0" w:beforeLines="0" w:beforeAutospacing="0" w:after="0" w:afterAutospacing="0" w:line="360" w:lineRule="auto"/>
              <w:ind w:left="0" w:leftChars="0" w:right="0" w:rightChars="0"/>
              <w:rPr>
                <w:rFonts w:hint="eastAsia" w:ascii="宋体" w:hAnsi="宋体" w:eastAsia="宋体" w:cs="宋体"/>
                <w:color w:val="auto"/>
                <w:kern w:val="0"/>
                <w:szCs w:val="21"/>
                <w:highlight w:val="none"/>
              </w:rPr>
            </w:pPr>
            <w:r>
              <w:rPr>
                <w:rFonts w:hint="eastAsia" w:ascii="宋体" w:hAnsi="宋体" w:eastAsia="宋体" w:cs="宋体"/>
                <w:b w:val="0"/>
                <w:bCs/>
                <w:color w:val="auto"/>
                <w:szCs w:val="21"/>
                <w:highlight w:val="none"/>
                <w:lang w:eastAsia="zh-CN"/>
              </w:rPr>
              <w:t>差：</w:t>
            </w:r>
            <w:r>
              <w:rPr>
                <w:rFonts w:hint="eastAsia" w:ascii="宋体" w:hAnsi="宋体" w:eastAsia="宋体" w:cs="宋体"/>
                <w:bCs/>
                <w:color w:val="auto"/>
                <w:szCs w:val="21"/>
                <w:highlight w:val="none"/>
                <w:lang w:eastAsia="zh-CN"/>
              </w:rPr>
              <w:t>难以保证有足够的人力、物力资源完成任务，团队规模较小，专业能力不足，技术设备和软件工具落后，得（</w:t>
            </w:r>
            <w:r>
              <w:rPr>
                <w:rFonts w:hint="eastAsia" w:ascii="宋体" w:hAnsi="宋体" w:eastAsia="宋体" w:cs="宋体"/>
                <w:bCs/>
                <w:color w:val="auto"/>
                <w:szCs w:val="21"/>
                <w:highlight w:val="none"/>
                <w:lang w:val="en-US" w:eastAsia="zh-CN"/>
              </w:rPr>
              <w:t>0.5</w:t>
            </w:r>
            <w:r>
              <w:rPr>
                <w:rFonts w:hint="eastAsia" w:ascii="宋体" w:hAnsi="宋体" w:eastAsia="宋体" w:cs="宋体"/>
                <w:bCs/>
                <w:color w:val="auto"/>
                <w:szCs w:val="21"/>
                <w:highlight w:val="none"/>
                <w:lang w:eastAsia="zh-CN"/>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5D7C8C13">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val="0"/>
                <w:bCs/>
                <w:color w:val="auto"/>
                <w:sz w:val="21"/>
                <w:szCs w:val="21"/>
                <w:highlight w:val="none"/>
                <w:lang w:val="en-US" w:eastAsia="zh-CN"/>
              </w:rPr>
              <w:t>2分</w:t>
            </w:r>
          </w:p>
        </w:tc>
      </w:tr>
      <w:tr w14:paraId="4EA9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67F88D4">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0CC76B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拟投入服务人员</w:t>
            </w:r>
          </w:p>
        </w:tc>
        <w:tc>
          <w:tcPr>
            <w:tcW w:w="3692" w:type="pct"/>
            <w:tcBorders>
              <w:top w:val="single" w:color="auto" w:sz="4" w:space="0"/>
              <w:left w:val="single" w:color="auto" w:sz="4" w:space="0"/>
              <w:bottom w:val="single" w:color="auto" w:sz="4" w:space="0"/>
              <w:right w:val="single" w:color="auto" w:sz="4" w:space="0"/>
            </w:tcBorders>
            <w:vAlign w:val="center"/>
          </w:tcPr>
          <w:p w14:paraId="73576FDF">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投标人拟投入本项目的服务团队（技术负责人除外）</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具备</w:t>
            </w:r>
            <w:r>
              <w:rPr>
                <w:rFonts w:hint="eastAsia" w:ascii="宋体" w:hAnsi="宋体" w:eastAsia="宋体" w:cs="宋体"/>
                <w:b/>
                <w:bCs/>
                <w:color w:val="auto"/>
                <w:sz w:val="21"/>
                <w:szCs w:val="21"/>
                <w:highlight w:val="none"/>
                <w:lang w:val="en-US" w:eastAsia="zh-CN"/>
              </w:rPr>
              <w:t>二级或以上</w:t>
            </w:r>
            <w:r>
              <w:rPr>
                <w:rFonts w:hint="eastAsia" w:ascii="宋体" w:hAnsi="宋体" w:eastAsia="宋体" w:cs="宋体"/>
                <w:b/>
                <w:bCs/>
                <w:color w:val="auto"/>
                <w:sz w:val="21"/>
                <w:szCs w:val="21"/>
                <w:highlight w:val="none"/>
              </w:rPr>
              <w:t>造价</w:t>
            </w:r>
            <w:r>
              <w:rPr>
                <w:rFonts w:hint="eastAsia" w:ascii="宋体" w:hAnsi="宋体" w:eastAsia="宋体" w:cs="宋体"/>
                <w:b/>
                <w:bCs/>
                <w:color w:val="auto"/>
                <w:sz w:val="21"/>
                <w:szCs w:val="21"/>
                <w:highlight w:val="none"/>
                <w:lang w:val="en-US" w:eastAsia="zh-CN"/>
              </w:rPr>
              <w:t>工程</w:t>
            </w:r>
            <w:r>
              <w:rPr>
                <w:rFonts w:hint="eastAsia" w:ascii="宋体" w:hAnsi="宋体" w:eastAsia="宋体" w:cs="宋体"/>
                <w:b/>
                <w:bCs/>
                <w:color w:val="auto"/>
                <w:sz w:val="21"/>
                <w:szCs w:val="21"/>
                <w:highlight w:val="none"/>
              </w:rPr>
              <w:t>师</w:t>
            </w:r>
            <w:r>
              <w:rPr>
                <w:rFonts w:hint="eastAsia" w:ascii="宋体" w:hAnsi="宋体" w:eastAsia="宋体" w:cs="宋体"/>
                <w:b/>
                <w:bCs/>
                <w:color w:val="auto"/>
                <w:sz w:val="21"/>
                <w:szCs w:val="21"/>
                <w:highlight w:val="none"/>
                <w:lang w:val="en-US" w:eastAsia="zh-CN"/>
              </w:rPr>
              <w:t>注册</w:t>
            </w:r>
            <w:r>
              <w:rPr>
                <w:rFonts w:hint="eastAsia" w:ascii="宋体" w:hAnsi="宋体" w:eastAsia="宋体" w:cs="宋体"/>
                <w:b/>
                <w:bCs/>
                <w:color w:val="auto"/>
                <w:sz w:val="21"/>
                <w:szCs w:val="21"/>
                <w:highlight w:val="none"/>
              </w:rPr>
              <w:t>证书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人员在</w:t>
            </w:r>
            <w:r>
              <w:rPr>
                <w:rFonts w:hint="eastAsia" w:ascii="宋体" w:hAnsi="宋体" w:eastAsia="宋体" w:cs="宋体"/>
                <w:color w:val="auto"/>
                <w:sz w:val="21"/>
                <w:szCs w:val="21"/>
                <w:highlight w:val="none"/>
              </w:rPr>
              <w:t>不少于6人</w:t>
            </w:r>
            <w:r>
              <w:rPr>
                <w:rFonts w:hint="eastAsia" w:ascii="宋体" w:hAnsi="宋体" w:eastAsia="宋体" w:cs="宋体"/>
                <w:color w:val="auto"/>
                <w:sz w:val="21"/>
                <w:szCs w:val="21"/>
                <w:highlight w:val="none"/>
                <w:lang w:val="en-US" w:eastAsia="zh-CN"/>
              </w:rPr>
              <w:t>的基础上</w:t>
            </w:r>
            <w:r>
              <w:rPr>
                <w:rFonts w:hint="eastAsia" w:ascii="宋体" w:hAnsi="宋体" w:eastAsia="宋体" w:cs="宋体"/>
                <w:color w:val="auto"/>
                <w:sz w:val="21"/>
                <w:szCs w:val="21"/>
                <w:highlight w:val="none"/>
              </w:rPr>
              <w:t>，每增加1人具备</w:t>
            </w:r>
            <w:r>
              <w:rPr>
                <w:rFonts w:hint="eastAsia" w:ascii="宋体" w:hAnsi="宋体" w:eastAsia="宋体" w:cs="宋体"/>
                <w:b/>
                <w:bCs/>
                <w:color w:val="auto"/>
                <w:sz w:val="21"/>
                <w:szCs w:val="21"/>
                <w:highlight w:val="none"/>
                <w:lang w:val="en-US" w:eastAsia="zh-CN"/>
              </w:rPr>
              <w:t>二级或以上</w:t>
            </w:r>
            <w:r>
              <w:rPr>
                <w:rFonts w:hint="eastAsia" w:ascii="宋体" w:hAnsi="宋体" w:eastAsia="宋体" w:cs="宋体"/>
                <w:b/>
                <w:bCs/>
                <w:color w:val="auto"/>
                <w:sz w:val="21"/>
                <w:szCs w:val="21"/>
                <w:highlight w:val="none"/>
              </w:rPr>
              <w:t>造价</w:t>
            </w:r>
            <w:r>
              <w:rPr>
                <w:rFonts w:hint="eastAsia" w:ascii="宋体" w:hAnsi="宋体" w:eastAsia="宋体" w:cs="宋体"/>
                <w:b/>
                <w:bCs/>
                <w:color w:val="auto"/>
                <w:sz w:val="21"/>
                <w:szCs w:val="21"/>
                <w:highlight w:val="none"/>
                <w:lang w:val="en-US" w:eastAsia="zh-CN"/>
              </w:rPr>
              <w:t>工程</w:t>
            </w:r>
            <w:r>
              <w:rPr>
                <w:rFonts w:hint="eastAsia" w:ascii="宋体" w:hAnsi="宋体" w:eastAsia="宋体" w:cs="宋体"/>
                <w:b/>
                <w:bCs/>
                <w:color w:val="auto"/>
                <w:sz w:val="21"/>
                <w:szCs w:val="21"/>
                <w:highlight w:val="none"/>
              </w:rPr>
              <w:t>师</w:t>
            </w:r>
            <w:r>
              <w:rPr>
                <w:rFonts w:hint="eastAsia" w:ascii="宋体" w:hAnsi="宋体" w:eastAsia="宋体" w:cs="宋体"/>
                <w:b/>
                <w:bCs/>
                <w:color w:val="auto"/>
                <w:sz w:val="21"/>
                <w:szCs w:val="21"/>
                <w:highlight w:val="none"/>
                <w:lang w:val="en-US" w:eastAsia="zh-CN"/>
              </w:rPr>
              <w:t>注册</w:t>
            </w:r>
            <w:r>
              <w:rPr>
                <w:rFonts w:hint="eastAsia" w:ascii="宋体" w:hAnsi="宋体" w:eastAsia="宋体" w:cs="宋体"/>
                <w:b/>
                <w:bCs/>
                <w:color w:val="auto"/>
                <w:sz w:val="21"/>
                <w:szCs w:val="21"/>
                <w:highlight w:val="none"/>
              </w:rPr>
              <w:t>证书</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4434F674">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2、以上人员中每1人具有</w:t>
            </w:r>
            <w:r>
              <w:rPr>
                <w:rFonts w:hint="eastAsia" w:ascii="宋体" w:hAnsi="宋体" w:eastAsia="宋体" w:cs="宋体"/>
                <w:b/>
                <w:bCs/>
                <w:color w:val="auto"/>
                <w:sz w:val="21"/>
                <w:szCs w:val="21"/>
                <w:highlight w:val="none"/>
                <w:lang w:val="en-US" w:eastAsia="zh-CN"/>
              </w:rPr>
              <w:t>一级造价工程师注册证书</w:t>
            </w:r>
            <w:r>
              <w:rPr>
                <w:rFonts w:hint="eastAsia" w:ascii="宋体" w:hAnsi="宋体" w:eastAsia="宋体" w:cs="宋体"/>
                <w:snapToGrid w:val="0"/>
                <w:color w:val="auto"/>
                <w:spacing w:val="0"/>
                <w:kern w:val="0"/>
                <w:sz w:val="21"/>
                <w:szCs w:val="21"/>
                <w:highlight w:val="none"/>
                <w:lang w:val="en-US" w:eastAsia="zh-CN" w:bidi="ar-SA"/>
              </w:rPr>
              <w:t>的得0.5分，</w:t>
            </w:r>
            <w:r>
              <w:rPr>
                <w:rFonts w:hint="eastAsia" w:ascii="宋体" w:hAnsi="宋体" w:eastAsia="宋体" w:cs="宋体"/>
                <w:color w:val="auto"/>
                <w:sz w:val="21"/>
                <w:szCs w:val="21"/>
                <w:highlight w:val="none"/>
              </w:rPr>
              <w:t>本子项满分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0E6EE3B3">
            <w:pPr>
              <w:keepNext w:val="0"/>
              <w:keepLines w:val="0"/>
              <w:pageBreakBefore w:val="0"/>
              <w:widowControl w:val="0"/>
              <w:suppressLineNumbers w:val="0"/>
              <w:kinsoku/>
              <w:wordWrap/>
              <w:overflowPunct/>
              <w:topLinePunct w:val="0"/>
              <w:bidi w:val="0"/>
              <w:snapToGrid/>
              <w:spacing w:before="0" w:beforeLines="0" w:beforeAutospacing="0" w:after="0" w:afterAutospacing="0" w:line="360" w:lineRule="auto"/>
              <w:ind w:left="0" w:leftChars="0" w:right="0" w:rightChars="0"/>
              <w:textAlignment w:val="auto"/>
              <w:rPr>
                <w:rFonts w:hint="eastAsia" w:ascii="宋体" w:hAnsi="宋体" w:eastAsia="宋体" w:cs="宋体"/>
                <w:color w:val="auto"/>
                <w:kern w:val="0"/>
                <w:szCs w:val="21"/>
                <w:highlight w:val="none"/>
                <w:lang w:eastAsia="zh-CN"/>
              </w:rPr>
            </w:pPr>
            <w:r>
              <w:rPr>
                <w:rFonts w:hint="eastAsia" w:ascii="宋体" w:hAnsi="宋体" w:eastAsia="宋体" w:cs="宋体"/>
                <w:b/>
                <w:bCs/>
                <w:color w:val="auto"/>
                <w:sz w:val="21"/>
                <w:szCs w:val="21"/>
                <w:highlight w:val="none"/>
              </w:rPr>
              <w:t>备注：以上人员须提供</w:t>
            </w:r>
            <w:r>
              <w:rPr>
                <w:rFonts w:hint="eastAsia" w:ascii="宋体" w:hAnsi="宋体" w:eastAsia="宋体" w:cs="宋体"/>
                <w:b/>
                <w:bCs/>
                <w:color w:val="auto"/>
                <w:sz w:val="21"/>
                <w:szCs w:val="21"/>
                <w:highlight w:val="none"/>
                <w:lang w:val="en-US" w:eastAsia="zh-CN"/>
              </w:rPr>
              <w:t>以下证明材料复印件加盖投标人公章：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1）人员</w:t>
            </w:r>
            <w:r>
              <w:rPr>
                <w:rFonts w:hint="eastAsia" w:ascii="宋体" w:hAnsi="宋体" w:eastAsia="宋体" w:cs="宋体"/>
                <w:b/>
                <w:bCs/>
                <w:color w:val="auto"/>
                <w:sz w:val="21"/>
                <w:szCs w:val="21"/>
                <w:highlight w:val="none"/>
              </w:rPr>
              <w:t>身份证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造价工程师职业资格证书；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造价工程师</w:t>
            </w:r>
            <w:r>
              <w:rPr>
                <w:rFonts w:hint="eastAsia" w:ascii="宋体" w:hAnsi="宋体" w:eastAsia="宋体" w:cs="宋体"/>
                <w:b/>
                <w:bCs/>
                <w:color w:val="auto"/>
                <w:sz w:val="21"/>
                <w:szCs w:val="21"/>
                <w:highlight w:val="none"/>
              </w:rPr>
              <w:t>注册证书【或在“全国建筑市场监管公共服务平台”（网址：https://jzsc.mohurd.gov.cn/home）上的执业注册信息截图】</w:t>
            </w:r>
            <w:r>
              <w:rPr>
                <w:rFonts w:hint="eastAsia" w:ascii="宋体" w:hAnsi="宋体" w:eastAsia="宋体" w:cs="宋体"/>
                <w:b/>
                <w:bCs/>
                <w:color w:val="auto"/>
                <w:sz w:val="21"/>
                <w:szCs w:val="21"/>
                <w:highlight w:val="none"/>
                <w:lang w:eastAsia="zh-CN"/>
              </w:rPr>
              <w:t>；（</w:t>
            </w:r>
            <w:r>
              <w:rPr>
                <w:rFonts w:hint="default"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人力资源和社会保障部门（或税务部门）出具</w:t>
            </w:r>
            <w:r>
              <w:rPr>
                <w:rFonts w:hint="eastAsia" w:ascii="宋体" w:hAnsi="宋体" w:eastAsia="宋体" w:cs="宋体"/>
                <w:b/>
                <w:bCs/>
                <w:color w:val="auto"/>
                <w:sz w:val="21"/>
                <w:szCs w:val="21"/>
                <w:highlight w:val="none"/>
              </w:rPr>
              <w:t>的202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Cs w:val="21"/>
                <w:highlight w:val="none"/>
              </w:rPr>
              <w:t>的投标人为其缴纳的社保证明</w:t>
            </w:r>
            <w:r>
              <w:rPr>
                <w:rFonts w:hint="eastAsia" w:ascii="宋体" w:hAnsi="宋体" w:eastAsia="宋体" w:cs="宋体"/>
                <w:b/>
                <w:bCs/>
                <w:color w:val="auto"/>
                <w:szCs w:val="21"/>
                <w:highlight w:val="none"/>
                <w:lang w:val="en-US" w:eastAsia="zh-CN"/>
              </w:rPr>
              <w:t>材料。</w:t>
            </w:r>
          </w:p>
        </w:tc>
        <w:tc>
          <w:tcPr>
            <w:tcW w:w="437" w:type="pct"/>
            <w:tcBorders>
              <w:top w:val="single" w:color="auto" w:sz="4" w:space="0"/>
              <w:left w:val="single" w:color="auto" w:sz="4" w:space="0"/>
              <w:bottom w:val="single" w:color="auto" w:sz="4" w:space="0"/>
              <w:right w:val="single" w:color="auto" w:sz="4" w:space="0"/>
            </w:tcBorders>
            <w:vAlign w:val="center"/>
          </w:tcPr>
          <w:p w14:paraId="0B6C853B">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lang w:val="en-US" w:eastAsia="zh-CN"/>
              </w:rPr>
              <w:t>5分</w:t>
            </w:r>
          </w:p>
        </w:tc>
      </w:tr>
      <w:tr w14:paraId="35B2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right w:val="single" w:color="auto" w:sz="4" w:space="0"/>
            </w:tcBorders>
            <w:vAlign w:val="center"/>
          </w:tcPr>
          <w:p w14:paraId="358E173A">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lang w:val="en-US" w:eastAsia="zh-CN"/>
              </w:rPr>
              <w:t>7</w:t>
            </w:r>
          </w:p>
        </w:tc>
        <w:tc>
          <w:tcPr>
            <w:tcW w:w="546" w:type="pct"/>
            <w:vMerge w:val="restart"/>
            <w:tcBorders>
              <w:top w:val="single" w:color="auto" w:sz="4" w:space="0"/>
              <w:left w:val="single" w:color="auto" w:sz="4" w:space="0"/>
              <w:right w:val="single" w:color="auto" w:sz="4" w:space="0"/>
            </w:tcBorders>
            <w:vAlign w:val="center"/>
          </w:tcPr>
          <w:p w14:paraId="67F8B8D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服务便利性</w:t>
            </w:r>
            <w:r>
              <w:rPr>
                <w:rFonts w:hint="eastAsia" w:ascii="宋体" w:hAnsi="宋体" w:eastAsia="宋体" w:cs="宋体"/>
                <w:color w:val="auto"/>
                <w:sz w:val="21"/>
                <w:szCs w:val="21"/>
                <w:highlight w:val="none"/>
                <w:lang w:val="en-US" w:eastAsia="zh-CN"/>
              </w:rPr>
              <w:t>承诺</w:t>
            </w:r>
          </w:p>
        </w:tc>
        <w:tc>
          <w:tcPr>
            <w:tcW w:w="7659" w:type="dxa"/>
            <w:tcBorders>
              <w:top w:val="single" w:color="auto" w:sz="4" w:space="0"/>
              <w:left w:val="single" w:color="auto" w:sz="4" w:space="0"/>
              <w:bottom w:val="single" w:color="auto" w:sz="4" w:space="0"/>
              <w:right w:val="single" w:color="auto" w:sz="4" w:space="0"/>
            </w:tcBorders>
            <w:vAlign w:val="center"/>
          </w:tcPr>
          <w:p w14:paraId="0B8E6500">
            <w:pPr>
              <w:keepNext w:val="0"/>
              <w:keepLines w:val="0"/>
              <w:pageBreakBefore w:val="0"/>
              <w:widowControl/>
              <w:suppressLineNumbers w:val="0"/>
              <w:kinsoku/>
              <w:wordWrap/>
              <w:overflowPunct/>
              <w:topLinePunct w:val="0"/>
              <w:bidi w:val="0"/>
              <w:snapToGrid/>
              <w:spacing w:before="0" w:beforeLines="0" w:beforeAutospacing="0" w:after="0" w:afterAutospacing="0" w:line="360" w:lineRule="auto"/>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根据各投标人服务便利性承诺进行评审</w:t>
            </w:r>
            <w:r>
              <w:rPr>
                <w:rFonts w:hint="eastAsia" w:ascii="宋体" w:hAnsi="宋体" w:eastAsia="宋体" w:cs="宋体"/>
                <w:color w:val="auto"/>
                <w:szCs w:val="21"/>
                <w:highlight w:val="none"/>
                <w:lang w:eastAsia="zh-CN"/>
              </w:rPr>
              <w:t>：</w:t>
            </w:r>
          </w:p>
          <w:p w14:paraId="06BA549A">
            <w:pPr>
              <w:keepNext w:val="0"/>
              <w:keepLines w:val="0"/>
              <w:pageBreakBefore w:val="0"/>
              <w:widowControl/>
              <w:suppressLineNumbers w:val="0"/>
              <w:kinsoku/>
              <w:wordWrap/>
              <w:overflowPunct/>
              <w:topLinePunct w:val="0"/>
              <w:bidi w:val="0"/>
              <w:snapToGrid/>
              <w:spacing w:before="0" w:beforeLines="0" w:beforeAutospacing="0" w:after="0" w:afterAutospacing="0" w:line="360" w:lineRule="auto"/>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投标人承诺本项目</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人员接到招标人通知后的响应时间</w:t>
            </w:r>
            <w:r>
              <w:rPr>
                <w:rFonts w:hint="eastAsia" w:ascii="宋体" w:hAnsi="宋体" w:eastAsia="宋体" w:cs="宋体"/>
                <w:color w:val="auto"/>
                <w:szCs w:val="21"/>
                <w:highlight w:val="none"/>
                <w:lang w:eastAsia="zh-CN"/>
              </w:rPr>
              <w:t>：</w:t>
            </w:r>
          </w:p>
          <w:p w14:paraId="34F69F49">
            <w:pPr>
              <w:keepNext w:val="0"/>
              <w:keepLines w:val="0"/>
              <w:pageBreakBefore w:val="0"/>
              <w:widowControl/>
              <w:suppressLineNumbers w:val="0"/>
              <w:kinsoku/>
              <w:wordWrap/>
              <w:overflowPunct/>
              <w:topLinePunct w:val="0"/>
              <w:bidi w:val="0"/>
              <w:snapToGrid/>
              <w:spacing w:before="0" w:beforeLines="0" w:beforeAutospacing="0" w:after="0" w:afterAutospacing="0" w:line="360" w:lineRule="auto"/>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①响应时间≤1小时的，得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490BD105">
            <w:pPr>
              <w:keepNext w:val="0"/>
              <w:keepLines w:val="0"/>
              <w:pageBreakBefore w:val="0"/>
              <w:widowControl/>
              <w:suppressLineNumbers w:val="0"/>
              <w:kinsoku/>
              <w:wordWrap/>
              <w:overflowPunct/>
              <w:topLinePunct w:val="0"/>
              <w:bidi w:val="0"/>
              <w:snapToGrid/>
              <w:spacing w:before="0" w:beforeLines="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②1小时</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响应时间≤2小时的，得</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48EAA12D">
            <w:pPr>
              <w:snapToGrid/>
              <w:spacing w:beforeLines="0" w:line="360" w:lineRule="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lang w:val="en-US" w:eastAsia="zh-CN"/>
              </w:rPr>
              <w:t>备注：根据《</w:t>
            </w:r>
            <w:r>
              <w:rPr>
                <w:rFonts w:hint="eastAsia" w:ascii="宋体" w:hAnsi="宋体" w:eastAsia="宋体" w:cs="宋体"/>
                <w:b/>
                <w:bCs/>
                <w:color w:val="auto"/>
                <w:szCs w:val="21"/>
              </w:rPr>
              <w:t>服务便利性</w:t>
            </w:r>
            <w:r>
              <w:rPr>
                <w:rFonts w:hint="eastAsia" w:ascii="宋体" w:hAnsi="宋体" w:eastAsia="宋体" w:cs="宋体"/>
                <w:b/>
                <w:bCs/>
                <w:color w:val="auto"/>
                <w:sz w:val="21"/>
                <w:szCs w:val="21"/>
                <w:lang w:val="en-US" w:eastAsia="zh-CN"/>
              </w:rPr>
              <w:t>承诺表》进行评审。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04BF96DF">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lang w:val="en-US" w:eastAsia="zh-CN"/>
              </w:rPr>
              <w:t>1分</w:t>
            </w:r>
          </w:p>
        </w:tc>
      </w:tr>
      <w:tr w14:paraId="458A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left w:val="single" w:color="auto" w:sz="4" w:space="0"/>
              <w:right w:val="single" w:color="auto" w:sz="4" w:space="0"/>
            </w:tcBorders>
            <w:vAlign w:val="center"/>
          </w:tcPr>
          <w:p w14:paraId="63643928">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p>
        </w:tc>
        <w:tc>
          <w:tcPr>
            <w:tcW w:w="546" w:type="pct"/>
            <w:vMerge w:val="continue"/>
            <w:tcBorders>
              <w:left w:val="single" w:color="auto" w:sz="4" w:space="0"/>
              <w:right w:val="single" w:color="auto" w:sz="4" w:space="0"/>
            </w:tcBorders>
            <w:vAlign w:val="center"/>
          </w:tcPr>
          <w:p w14:paraId="6073718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59" w:type="dxa"/>
            <w:tcBorders>
              <w:top w:val="single" w:color="auto" w:sz="4" w:space="0"/>
              <w:left w:val="single" w:color="auto" w:sz="4" w:space="0"/>
              <w:right w:val="single" w:color="auto" w:sz="4" w:space="0"/>
            </w:tcBorders>
            <w:vAlign w:val="center"/>
          </w:tcPr>
          <w:p w14:paraId="5CCA9442">
            <w:pPr>
              <w:snapToGrid/>
              <w:spacing w:beforeLines="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投标人承诺根据招标人的反馈意见而需要作出调整修改的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修改</w:t>
            </w:r>
            <w:r>
              <w:rPr>
                <w:rFonts w:hint="eastAsia" w:ascii="宋体" w:hAnsi="宋体" w:eastAsia="宋体" w:cs="宋体"/>
                <w:color w:val="auto"/>
                <w:szCs w:val="21"/>
                <w:highlight w:val="none"/>
                <w:lang w:val="en-US" w:eastAsia="zh-CN"/>
              </w:rPr>
              <w:t>完成</w:t>
            </w:r>
            <w:r>
              <w:rPr>
                <w:rFonts w:hint="eastAsia" w:ascii="宋体" w:hAnsi="宋体" w:eastAsia="宋体" w:cs="宋体"/>
                <w:color w:val="auto"/>
                <w:szCs w:val="21"/>
                <w:highlight w:val="none"/>
              </w:rPr>
              <w:t>的时间：</w:t>
            </w:r>
          </w:p>
          <w:p w14:paraId="0F619ACF">
            <w:pPr>
              <w:snapToGrid/>
              <w:spacing w:beforeLines="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①修改完成时间≤1天的，得2分</w:t>
            </w:r>
            <w:r>
              <w:rPr>
                <w:rFonts w:hint="eastAsia" w:ascii="宋体" w:hAnsi="宋体" w:eastAsia="宋体" w:cs="宋体"/>
                <w:color w:val="auto"/>
                <w:szCs w:val="21"/>
                <w:highlight w:val="none"/>
                <w:lang w:eastAsia="zh-CN"/>
              </w:rPr>
              <w:t>；</w:t>
            </w:r>
          </w:p>
          <w:p w14:paraId="18D052A9">
            <w:pPr>
              <w:snapToGrid/>
              <w:spacing w:beforeLines="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②1天</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修改完成时间≤2天的，得1分。</w:t>
            </w:r>
          </w:p>
          <w:p w14:paraId="37B307DB">
            <w:pPr>
              <w:pStyle w:val="2"/>
              <w:autoSpaceDE/>
              <w:autoSpaceDN/>
              <w:adjustRightInd/>
              <w:snapToGrid/>
              <w:spacing w:beforeLines="0" w:line="360" w:lineRule="auto"/>
              <w:rPr>
                <w:rFonts w:hint="eastAsia" w:ascii="宋体" w:hAnsi="宋体" w:eastAsia="宋体" w:cs="宋体"/>
                <w:b/>
                <w:color w:val="auto"/>
                <w:sz w:val="21"/>
                <w:szCs w:val="21"/>
                <w:highlight w:val="none"/>
              </w:rPr>
            </w:pPr>
            <w:bookmarkStart w:id="772" w:name="_Toc9947"/>
            <w:r>
              <w:rPr>
                <w:rFonts w:hint="eastAsia" w:ascii="宋体" w:hAnsi="宋体" w:eastAsia="宋体" w:cs="宋体"/>
                <w:b/>
                <w:bCs/>
                <w:color w:val="auto"/>
                <w:sz w:val="21"/>
                <w:szCs w:val="21"/>
                <w:lang w:val="en-US" w:eastAsia="zh-CN"/>
              </w:rPr>
              <w:t>备注：根据《</w:t>
            </w:r>
            <w:r>
              <w:rPr>
                <w:rFonts w:hint="eastAsia" w:ascii="宋体" w:hAnsi="宋体" w:eastAsia="宋体" w:cs="宋体"/>
                <w:b/>
                <w:bCs/>
                <w:color w:val="auto"/>
                <w:sz w:val="21"/>
                <w:szCs w:val="21"/>
              </w:rPr>
              <w:t>服务便利性</w:t>
            </w:r>
            <w:r>
              <w:rPr>
                <w:rFonts w:hint="eastAsia" w:ascii="宋体" w:hAnsi="宋体" w:eastAsia="宋体" w:cs="宋体"/>
                <w:b/>
                <w:bCs/>
                <w:color w:val="auto"/>
                <w:sz w:val="21"/>
                <w:szCs w:val="21"/>
                <w:lang w:val="en-US" w:eastAsia="zh-CN"/>
              </w:rPr>
              <w:t>承诺</w:t>
            </w:r>
            <w:r>
              <w:rPr>
                <w:rFonts w:hint="eastAsia" w:hAnsi="宋体" w:cs="宋体"/>
                <w:b/>
                <w:bCs/>
                <w:color w:val="auto"/>
                <w:sz w:val="21"/>
                <w:szCs w:val="21"/>
                <w:lang w:val="en-US" w:eastAsia="zh-CN"/>
              </w:rPr>
              <w:t>表</w:t>
            </w:r>
            <w:r>
              <w:rPr>
                <w:rFonts w:hint="eastAsia" w:ascii="宋体" w:hAnsi="宋体" w:eastAsia="宋体" w:cs="宋体"/>
                <w:b/>
                <w:bCs/>
                <w:color w:val="auto"/>
                <w:sz w:val="21"/>
                <w:szCs w:val="21"/>
                <w:lang w:val="en-US" w:eastAsia="zh-CN"/>
              </w:rPr>
              <w:t>》进行评审。</w:t>
            </w:r>
            <w:bookmarkEnd w:id="772"/>
          </w:p>
        </w:tc>
        <w:tc>
          <w:tcPr>
            <w:tcW w:w="907" w:type="dxa"/>
            <w:tcBorders>
              <w:top w:val="single" w:color="auto" w:sz="4" w:space="0"/>
              <w:left w:val="single" w:color="auto" w:sz="4" w:space="0"/>
              <w:right w:val="single" w:color="auto" w:sz="4" w:space="0"/>
            </w:tcBorders>
            <w:vAlign w:val="center"/>
          </w:tcPr>
          <w:p w14:paraId="0409DDF7">
            <w:pPr>
              <w:keepNext w:val="0"/>
              <w:keepLines w:val="0"/>
              <w:pageBreakBefore w:val="0"/>
              <w:widowControl w:val="0"/>
              <w:suppressLineNumbers w:val="0"/>
              <w:kinsoku/>
              <w:wordWrap/>
              <w:overflowPunct/>
              <w:topLinePunct w:val="0"/>
              <w:bidi w:val="0"/>
              <w:adjustRightInd/>
              <w:snapToGrid/>
              <w:spacing w:before="0" w:beforeLines="0" w:beforeAutospacing="0" w:after="0" w:after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2分</w:t>
            </w:r>
          </w:p>
        </w:tc>
      </w:tr>
    </w:tbl>
    <w:p w14:paraId="4899B73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DD80C7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041ECCA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67A5A2A4">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20B8DDBE">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1611CF5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9F3D729">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C47569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1FAAB456">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70992A3">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213266A">
      <w:pPr>
        <w:spacing w:line="360" w:lineRule="auto"/>
        <w:ind w:left="420" w:leftChars="200" w:firstLine="420" w:firstLineChars="200"/>
        <w:rPr>
          <w:rFonts w:ascii="宋体" w:hAnsi="宋体" w:eastAsia="宋体" w:cs="宋体"/>
          <w:color w:val="auto"/>
          <w:kern w:val="0"/>
          <w:szCs w:val="21"/>
          <w:highlight w:val="none"/>
          <w:lang w:val="zh-CN"/>
        </w:rPr>
      </w:pPr>
    </w:p>
    <w:p w14:paraId="59EDB314">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36B0E926">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70AB065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2AF24D99">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72CBD521">
      <w:pPr>
        <w:spacing w:line="400" w:lineRule="exact"/>
        <w:ind w:firstLine="848" w:firstLineChars="404"/>
        <w:rPr>
          <w:rFonts w:ascii="宋体" w:hAnsi="宋体" w:eastAsia="宋体" w:cs="宋体"/>
          <w:color w:val="auto"/>
          <w:kern w:val="0"/>
          <w:szCs w:val="28"/>
          <w:highlight w:val="none"/>
          <w:lang w:val="zh-CN"/>
        </w:rPr>
      </w:pPr>
      <w:bookmarkStart w:id="773" w:name="_Toc31624_WPSOffice_Level2"/>
      <w:r>
        <w:rPr>
          <w:rFonts w:hint="eastAsia" w:ascii="宋体" w:hAnsi="宋体" w:eastAsia="宋体" w:cs="宋体"/>
          <w:color w:val="auto"/>
          <w:kern w:val="0"/>
          <w:szCs w:val="28"/>
          <w:highlight w:val="none"/>
          <w:lang w:val="zh-CN"/>
        </w:rPr>
        <w:t>评标总得分=F1＋F2＋……+Fn</w:t>
      </w:r>
      <w:bookmarkEnd w:id="773"/>
    </w:p>
    <w:p w14:paraId="7802BA8A">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74" w:name="_Toc13236_WPSOffice_Level2"/>
      <w:r>
        <w:rPr>
          <w:rFonts w:hint="eastAsia" w:ascii="宋体" w:hAnsi="宋体" w:eastAsia="宋体" w:cs="宋体"/>
          <w:color w:val="auto"/>
          <w:kern w:val="0"/>
          <w:szCs w:val="21"/>
          <w:highlight w:val="none"/>
        </w:rPr>
        <w:t>F1、F2、……Fn分别为各项评分因素的得分</w:t>
      </w:r>
      <w:bookmarkEnd w:id="774"/>
      <w:r>
        <w:rPr>
          <w:rFonts w:hint="eastAsia" w:ascii="宋体" w:hAnsi="宋体" w:eastAsia="宋体" w:cs="宋体"/>
          <w:color w:val="auto"/>
          <w:kern w:val="0"/>
          <w:szCs w:val="21"/>
          <w:highlight w:val="none"/>
        </w:rPr>
        <w:t>。</w:t>
      </w:r>
    </w:p>
    <w:p w14:paraId="09636F56">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9E235D2">
      <w:pPr>
        <w:autoSpaceDE w:val="0"/>
        <w:autoSpaceDN w:val="0"/>
        <w:adjustRightInd w:val="0"/>
        <w:spacing w:line="360" w:lineRule="auto"/>
        <w:jc w:val="center"/>
        <w:rPr>
          <w:rFonts w:ascii="宋体" w:hAnsi="宋体" w:eastAsia="宋体" w:cs="宋体"/>
          <w:b/>
          <w:bCs/>
          <w:color w:val="auto"/>
          <w:sz w:val="28"/>
          <w:szCs w:val="28"/>
          <w:highlight w:val="none"/>
        </w:rPr>
      </w:pPr>
      <w:bookmarkStart w:id="775" w:name="_Toc518_WPSOffice_Level1"/>
      <w:r>
        <w:rPr>
          <w:rFonts w:hint="eastAsia" w:ascii="宋体" w:hAnsi="宋体" w:eastAsia="宋体" w:cs="宋体"/>
          <w:b/>
          <w:bCs/>
          <w:color w:val="auto"/>
          <w:sz w:val="28"/>
          <w:szCs w:val="28"/>
          <w:highlight w:val="none"/>
          <w:lang w:val="zh-CN"/>
        </w:rPr>
        <w:t>五、推荐中标人</w:t>
      </w:r>
      <w:bookmarkEnd w:id="775"/>
    </w:p>
    <w:p w14:paraId="1E5FD933">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97A6C8E">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45FBEA1">
      <w:pPr>
        <w:widowControl/>
        <w:spacing w:line="360" w:lineRule="auto"/>
        <w:jc w:val="left"/>
        <w:rPr>
          <w:rFonts w:ascii="宋体" w:hAnsi="宋体" w:eastAsia="宋体" w:cs="宋体"/>
          <w:color w:val="auto"/>
          <w:kern w:val="0"/>
          <w:szCs w:val="21"/>
          <w:highlight w:val="none"/>
        </w:rPr>
      </w:pPr>
    </w:p>
    <w:p w14:paraId="4308C8CA">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76" w:name="_Toc22724_WPSOffice_Level1"/>
      <w:r>
        <w:rPr>
          <w:rFonts w:hint="eastAsia" w:ascii="宋体" w:hAnsi="宋体" w:eastAsia="宋体" w:cs="宋体"/>
          <w:b/>
          <w:bCs/>
          <w:color w:val="auto"/>
          <w:sz w:val="28"/>
          <w:szCs w:val="28"/>
          <w:highlight w:val="none"/>
          <w:lang w:val="zh-CN"/>
        </w:rPr>
        <w:t>六、编写评标报告</w:t>
      </w:r>
      <w:bookmarkEnd w:id="776"/>
    </w:p>
    <w:p w14:paraId="52B8688D">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0DEAC5C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CDD8D6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E811F8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6917F5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FC8A4E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6AC4BC3C">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CBB3F92">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5029A631">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77" w:name="_Toc23773_WPSOffice_Level1"/>
      <w:r>
        <w:rPr>
          <w:rFonts w:hint="eastAsia" w:ascii="宋体" w:hAnsi="宋体" w:eastAsia="宋体" w:cs="宋体"/>
          <w:b/>
          <w:bCs/>
          <w:color w:val="auto"/>
          <w:sz w:val="28"/>
          <w:szCs w:val="28"/>
          <w:highlight w:val="none"/>
          <w:lang w:val="zh-CN"/>
        </w:rPr>
        <w:t>七、注意事项</w:t>
      </w:r>
      <w:bookmarkEnd w:id="777"/>
    </w:p>
    <w:p w14:paraId="3874D3A5">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1273559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78948A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F6B7EA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7CDDB3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416B501">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732"/>
    <w:bookmarkEnd w:id="752"/>
    <w:bookmarkEnd w:id="753"/>
    <w:bookmarkEnd w:id="754"/>
    <w:p w14:paraId="4784524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3B84">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8B62">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302F9">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1702476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A7B3">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0DD2">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23C64">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98334">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40DC">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18BF">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7C20">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1B43">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3D2C"/>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3223B"/>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2306"/>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1473B7"/>
    <w:rsid w:val="01D10AC0"/>
    <w:rsid w:val="03546191"/>
    <w:rsid w:val="04B8274F"/>
    <w:rsid w:val="058F7720"/>
    <w:rsid w:val="068B011B"/>
    <w:rsid w:val="06A75D00"/>
    <w:rsid w:val="07280386"/>
    <w:rsid w:val="074008DD"/>
    <w:rsid w:val="09391860"/>
    <w:rsid w:val="09D9119E"/>
    <w:rsid w:val="0A11124D"/>
    <w:rsid w:val="0A155BEC"/>
    <w:rsid w:val="0AD11E75"/>
    <w:rsid w:val="0B3E3F63"/>
    <w:rsid w:val="0C760F26"/>
    <w:rsid w:val="0C7E2B62"/>
    <w:rsid w:val="0CDE6ACB"/>
    <w:rsid w:val="0D295F98"/>
    <w:rsid w:val="0D676BF0"/>
    <w:rsid w:val="0D696B0C"/>
    <w:rsid w:val="0D817B82"/>
    <w:rsid w:val="0E2844A2"/>
    <w:rsid w:val="0E3133A0"/>
    <w:rsid w:val="0E5B6625"/>
    <w:rsid w:val="0F241091"/>
    <w:rsid w:val="0FBA381F"/>
    <w:rsid w:val="10BC03C7"/>
    <w:rsid w:val="11170A52"/>
    <w:rsid w:val="119A14BC"/>
    <w:rsid w:val="123F4A3B"/>
    <w:rsid w:val="130F4A87"/>
    <w:rsid w:val="13C20EF5"/>
    <w:rsid w:val="14237C67"/>
    <w:rsid w:val="144A749A"/>
    <w:rsid w:val="15A13C38"/>
    <w:rsid w:val="15DB004C"/>
    <w:rsid w:val="16B05E45"/>
    <w:rsid w:val="16B60189"/>
    <w:rsid w:val="197D09F7"/>
    <w:rsid w:val="198033E4"/>
    <w:rsid w:val="1A976C37"/>
    <w:rsid w:val="1B080113"/>
    <w:rsid w:val="1B0940FF"/>
    <w:rsid w:val="1BAA58AF"/>
    <w:rsid w:val="1C2F2E9F"/>
    <w:rsid w:val="1C3E04E0"/>
    <w:rsid w:val="1CCD00E6"/>
    <w:rsid w:val="1D4806BC"/>
    <w:rsid w:val="1D4E404C"/>
    <w:rsid w:val="1D8B67FB"/>
    <w:rsid w:val="1E555A60"/>
    <w:rsid w:val="1F680BA2"/>
    <w:rsid w:val="206474AF"/>
    <w:rsid w:val="207A1985"/>
    <w:rsid w:val="207E232E"/>
    <w:rsid w:val="21D20555"/>
    <w:rsid w:val="21D342CD"/>
    <w:rsid w:val="22C62CF4"/>
    <w:rsid w:val="23A06120"/>
    <w:rsid w:val="23A5065D"/>
    <w:rsid w:val="24661428"/>
    <w:rsid w:val="24824187"/>
    <w:rsid w:val="24E231A5"/>
    <w:rsid w:val="25231264"/>
    <w:rsid w:val="264F4DA9"/>
    <w:rsid w:val="26D414ED"/>
    <w:rsid w:val="276C4FA7"/>
    <w:rsid w:val="281D470C"/>
    <w:rsid w:val="286E02B3"/>
    <w:rsid w:val="289742A6"/>
    <w:rsid w:val="28AC24C6"/>
    <w:rsid w:val="28CD7B64"/>
    <w:rsid w:val="28DA73F5"/>
    <w:rsid w:val="292E6A47"/>
    <w:rsid w:val="298E3AB4"/>
    <w:rsid w:val="29AE6B2F"/>
    <w:rsid w:val="2A141CA3"/>
    <w:rsid w:val="2A2E04CC"/>
    <w:rsid w:val="2A9E4307"/>
    <w:rsid w:val="2B345DDC"/>
    <w:rsid w:val="2B363325"/>
    <w:rsid w:val="2C342B8A"/>
    <w:rsid w:val="2CFC2BFE"/>
    <w:rsid w:val="2D176351"/>
    <w:rsid w:val="2FB41BE1"/>
    <w:rsid w:val="3054212F"/>
    <w:rsid w:val="30D458B9"/>
    <w:rsid w:val="314D028A"/>
    <w:rsid w:val="31F91B2E"/>
    <w:rsid w:val="32CC0FF0"/>
    <w:rsid w:val="32CE5597"/>
    <w:rsid w:val="32E00086"/>
    <w:rsid w:val="33961208"/>
    <w:rsid w:val="34F860CC"/>
    <w:rsid w:val="35170C48"/>
    <w:rsid w:val="355530AA"/>
    <w:rsid w:val="35942299"/>
    <w:rsid w:val="35A85942"/>
    <w:rsid w:val="364631D7"/>
    <w:rsid w:val="3651018A"/>
    <w:rsid w:val="3659703F"/>
    <w:rsid w:val="367709B1"/>
    <w:rsid w:val="368928C2"/>
    <w:rsid w:val="36A71B58"/>
    <w:rsid w:val="36B424C7"/>
    <w:rsid w:val="36B72492"/>
    <w:rsid w:val="37850378"/>
    <w:rsid w:val="38F00B77"/>
    <w:rsid w:val="3B1F29B6"/>
    <w:rsid w:val="3B3F1A9E"/>
    <w:rsid w:val="3B7514B9"/>
    <w:rsid w:val="3BDB5755"/>
    <w:rsid w:val="3C017411"/>
    <w:rsid w:val="3C0274F3"/>
    <w:rsid w:val="3C56262B"/>
    <w:rsid w:val="3CC832E7"/>
    <w:rsid w:val="3D712EC0"/>
    <w:rsid w:val="3E77099B"/>
    <w:rsid w:val="3F5B255F"/>
    <w:rsid w:val="3FD56DA6"/>
    <w:rsid w:val="40DC5A18"/>
    <w:rsid w:val="42A81132"/>
    <w:rsid w:val="42DD23FB"/>
    <w:rsid w:val="43505326"/>
    <w:rsid w:val="43665FCC"/>
    <w:rsid w:val="43B50E83"/>
    <w:rsid w:val="43C21109"/>
    <w:rsid w:val="43C449CD"/>
    <w:rsid w:val="44A65B45"/>
    <w:rsid w:val="44EC107E"/>
    <w:rsid w:val="45583E57"/>
    <w:rsid w:val="460A3274"/>
    <w:rsid w:val="477A4150"/>
    <w:rsid w:val="479F6A4D"/>
    <w:rsid w:val="48A87163"/>
    <w:rsid w:val="48F3252A"/>
    <w:rsid w:val="49A11F60"/>
    <w:rsid w:val="49A87C69"/>
    <w:rsid w:val="49D1209A"/>
    <w:rsid w:val="4AE00E8A"/>
    <w:rsid w:val="4B903A48"/>
    <w:rsid w:val="4BC8467F"/>
    <w:rsid w:val="4CC8692B"/>
    <w:rsid w:val="4CFE53E3"/>
    <w:rsid w:val="4D7678F6"/>
    <w:rsid w:val="4E241889"/>
    <w:rsid w:val="4E946FBC"/>
    <w:rsid w:val="4EC61613"/>
    <w:rsid w:val="4F0A4599"/>
    <w:rsid w:val="4F4941A4"/>
    <w:rsid w:val="4FE63648"/>
    <w:rsid w:val="50870317"/>
    <w:rsid w:val="509727E6"/>
    <w:rsid w:val="52151459"/>
    <w:rsid w:val="52195BA8"/>
    <w:rsid w:val="523A5B1F"/>
    <w:rsid w:val="52505342"/>
    <w:rsid w:val="52B4767F"/>
    <w:rsid w:val="52E24069"/>
    <w:rsid w:val="545033D7"/>
    <w:rsid w:val="54BE6593"/>
    <w:rsid w:val="54F06565"/>
    <w:rsid w:val="552E70DC"/>
    <w:rsid w:val="55CA0B8E"/>
    <w:rsid w:val="566D64C3"/>
    <w:rsid w:val="567C4ABB"/>
    <w:rsid w:val="567C6706"/>
    <w:rsid w:val="56B37004"/>
    <w:rsid w:val="58A665DB"/>
    <w:rsid w:val="590179F0"/>
    <w:rsid w:val="591C1385"/>
    <w:rsid w:val="59633BAD"/>
    <w:rsid w:val="59E52814"/>
    <w:rsid w:val="59FB128F"/>
    <w:rsid w:val="5A034E90"/>
    <w:rsid w:val="5A4E37C0"/>
    <w:rsid w:val="5A6C63E6"/>
    <w:rsid w:val="5A8C2C8F"/>
    <w:rsid w:val="5AA50F2B"/>
    <w:rsid w:val="5B0E7B48"/>
    <w:rsid w:val="5B5714EF"/>
    <w:rsid w:val="5B581A56"/>
    <w:rsid w:val="5B9B762E"/>
    <w:rsid w:val="5BE12FA3"/>
    <w:rsid w:val="5C4D6613"/>
    <w:rsid w:val="5C6330C1"/>
    <w:rsid w:val="5D123920"/>
    <w:rsid w:val="5D290C69"/>
    <w:rsid w:val="5D8866EC"/>
    <w:rsid w:val="5EBF421E"/>
    <w:rsid w:val="5ED00C48"/>
    <w:rsid w:val="5EEA13F1"/>
    <w:rsid w:val="5F0B6879"/>
    <w:rsid w:val="60130E45"/>
    <w:rsid w:val="616412E0"/>
    <w:rsid w:val="61A11716"/>
    <w:rsid w:val="620A4F53"/>
    <w:rsid w:val="62A029BD"/>
    <w:rsid w:val="62B13874"/>
    <w:rsid w:val="634540ED"/>
    <w:rsid w:val="63672753"/>
    <w:rsid w:val="63A76DAB"/>
    <w:rsid w:val="63FD617D"/>
    <w:rsid w:val="6447388E"/>
    <w:rsid w:val="64AD76D7"/>
    <w:rsid w:val="65391E88"/>
    <w:rsid w:val="65E62E7A"/>
    <w:rsid w:val="669C742D"/>
    <w:rsid w:val="66EC7F6C"/>
    <w:rsid w:val="66F401CD"/>
    <w:rsid w:val="67287B59"/>
    <w:rsid w:val="6751252D"/>
    <w:rsid w:val="67BB5990"/>
    <w:rsid w:val="689264F1"/>
    <w:rsid w:val="68D515DE"/>
    <w:rsid w:val="69A82A72"/>
    <w:rsid w:val="69F452BC"/>
    <w:rsid w:val="6A060639"/>
    <w:rsid w:val="6A7F647B"/>
    <w:rsid w:val="6A841727"/>
    <w:rsid w:val="6AAD178D"/>
    <w:rsid w:val="6CC649E7"/>
    <w:rsid w:val="6CF05300"/>
    <w:rsid w:val="6D0F39D8"/>
    <w:rsid w:val="6D83579A"/>
    <w:rsid w:val="6DA00AD4"/>
    <w:rsid w:val="6DDA5CDD"/>
    <w:rsid w:val="6EE01C1D"/>
    <w:rsid w:val="6F541B76"/>
    <w:rsid w:val="6F5F71DE"/>
    <w:rsid w:val="70AD3C34"/>
    <w:rsid w:val="71A0491A"/>
    <w:rsid w:val="71C034F3"/>
    <w:rsid w:val="71FE3C60"/>
    <w:rsid w:val="72373CFC"/>
    <w:rsid w:val="723E5F9B"/>
    <w:rsid w:val="726E73F3"/>
    <w:rsid w:val="739863DB"/>
    <w:rsid w:val="74BB5FC3"/>
    <w:rsid w:val="74CC30A1"/>
    <w:rsid w:val="751D3132"/>
    <w:rsid w:val="75502702"/>
    <w:rsid w:val="75E2150B"/>
    <w:rsid w:val="76AD19A9"/>
    <w:rsid w:val="77281627"/>
    <w:rsid w:val="77557325"/>
    <w:rsid w:val="78C75CA1"/>
    <w:rsid w:val="790D22C6"/>
    <w:rsid w:val="79290D1D"/>
    <w:rsid w:val="799932E5"/>
    <w:rsid w:val="7A0F62A8"/>
    <w:rsid w:val="7A2470E6"/>
    <w:rsid w:val="7A3F43C4"/>
    <w:rsid w:val="7B1A3528"/>
    <w:rsid w:val="7BB120FE"/>
    <w:rsid w:val="7C835849"/>
    <w:rsid w:val="7CE06C3C"/>
    <w:rsid w:val="7D630A43"/>
    <w:rsid w:val="7D6457E7"/>
    <w:rsid w:val="7E9F26E2"/>
    <w:rsid w:val="7F1A3DA0"/>
    <w:rsid w:val="7F250303"/>
    <w:rsid w:val="7F58120E"/>
    <w:rsid w:val="7F635305"/>
    <w:rsid w:val="7F7A21F7"/>
    <w:rsid w:val="7F923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3"/>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9"/>
    <w:autoRedefine/>
    <w:qFormat/>
    <w:uiPriority w:val="0"/>
    <w:rPr>
      <w:rFonts w:ascii="宋体" w:hAnsi="Courier New" w:eastAsia="宋体"/>
    </w:rPr>
  </w:style>
  <w:style w:type="paragraph" w:styleId="22">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autoRedefine/>
    <w:qFormat/>
    <w:uiPriority w:val="0"/>
    <w:rPr>
      <w:rFonts w:ascii="Times New Roman" w:hAnsi="Times New Roman" w:eastAsia="宋体" w:cs="Times New Roman"/>
      <w:sz w:val="18"/>
      <w:szCs w:val="18"/>
    </w:rPr>
  </w:style>
  <w:style w:type="paragraph" w:styleId="25">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5"/>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9"/>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0"/>
    <w:autoRedefine/>
    <w:qFormat/>
    <w:uiPriority w:val="9"/>
    <w:rPr>
      <w:rFonts w:ascii="Times New Roman" w:hAnsi="Calibri" w:eastAsia="黑体" w:cs="Times New Roman"/>
      <w:b/>
      <w:kern w:val="0"/>
      <w:sz w:val="28"/>
      <w:szCs w:val="24"/>
    </w:rPr>
  </w:style>
  <w:style w:type="character" w:customStyle="1" w:styleId="54">
    <w:name w:val="标题 9 Char"/>
    <w:basedOn w:val="39"/>
    <w:link w:val="11"/>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autoRedefine/>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4"/>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5"/>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3"/>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autoRedefine/>
    <w:qFormat/>
    <w:uiPriority w:val="0"/>
    <w:rPr>
      <w:rFonts w:ascii="宋体" w:hAnsi="宋体"/>
      <w:b/>
      <w:bCs/>
      <w:sz w:val="32"/>
      <w:szCs w:val="32"/>
    </w:rPr>
  </w:style>
  <w:style w:type="paragraph" w:customStyle="1" w:styleId="87">
    <w:name w:val="标题 3.1"/>
    <w:basedOn w:val="2"/>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19"/>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8"/>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1"/>
    <w:autoRedefine/>
    <w:qFormat/>
    <w:uiPriority w:val="0"/>
    <w:rPr>
      <w:rFonts w:ascii="宋体" w:hAnsi="Courier New" w:eastAsia="宋体"/>
    </w:rPr>
  </w:style>
  <w:style w:type="character" w:customStyle="1" w:styleId="100">
    <w:name w:val="正文文本缩进 2 Char"/>
    <w:link w:val="23"/>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autoRedefine/>
    <w:qFormat/>
    <w:uiPriority w:val="0"/>
    <w:rPr>
      <w:rFonts w:hint="eastAsia" w:ascii="宋体" w:hAnsi="宋体" w:eastAsia="宋体" w:cs="宋体"/>
      <w:color w:val="000000"/>
      <w:sz w:val="18"/>
      <w:szCs w:val="18"/>
      <w:u w:val="none"/>
    </w:rPr>
  </w:style>
  <w:style w:type="character" w:customStyle="1" w:styleId="115">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autoRedefine/>
    <w:qFormat/>
    <w:locked/>
    <w:uiPriority w:val="0"/>
    <w:rPr>
      <w:rFonts w:ascii="宋体" w:hAnsi="宋体"/>
      <w:sz w:val="15"/>
      <w:szCs w:val="15"/>
    </w:rPr>
  </w:style>
  <w:style w:type="character" w:customStyle="1" w:styleId="117">
    <w:name w:val="正文文本 Char3"/>
    <w:link w:val="18"/>
    <w:autoRedefine/>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6"/>
    <w:autoRedefine/>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4">
    <w:name w:val="小 Char"/>
    <w:autoRedefine/>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autoRedefine/>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autoRedefine/>
    <w:qFormat/>
    <w:uiPriority w:val="34"/>
    <w:pPr>
      <w:ind w:firstLine="420" w:firstLineChars="200"/>
    </w:pPr>
  </w:style>
  <w:style w:type="character" w:customStyle="1" w:styleId="129">
    <w:name w:val="正文文本 Char"/>
    <w:autoRedefine/>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6"/>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autoRedefine/>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autoRedefine/>
    <w:qFormat/>
    <w:uiPriority w:val="0"/>
    <w:rPr>
      <w:rFonts w:ascii="宋体" w:hAnsi="Courier New" w:eastAsia="宋体"/>
      <w:kern w:val="2"/>
      <w:sz w:val="21"/>
      <w:szCs w:val="24"/>
      <w:lang w:val="en-US" w:eastAsia="zh-CN" w:bidi="ar-SA"/>
    </w:rPr>
  </w:style>
  <w:style w:type="character" w:customStyle="1" w:styleId="137">
    <w:name w:val="列出段落 Char1"/>
    <w:autoRedefine/>
    <w:qFormat/>
    <w:uiPriority w:val="34"/>
    <w:rPr>
      <w:rFonts w:ascii="宋体"/>
      <w:sz w:val="24"/>
      <w:szCs w:val="24"/>
    </w:rPr>
  </w:style>
  <w:style w:type="character" w:customStyle="1" w:styleId="138">
    <w:name w:val="彩色列表 - 着色 1 字符"/>
    <w:link w:val="139"/>
    <w:autoRedefine/>
    <w:qFormat/>
    <w:uiPriority w:val="0"/>
    <w:rPr>
      <w:rFonts w:ascii="Calibri" w:hAnsi="Calibri"/>
    </w:rPr>
  </w:style>
  <w:style w:type="paragraph" w:customStyle="1" w:styleId="139">
    <w:name w:val="彩色列表 - 着色 11"/>
    <w:basedOn w:val="1"/>
    <w:link w:val="138"/>
    <w:autoRedefine/>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7"/>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2"/>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autoRedefine/>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29"/>
    <w:autoRedefine/>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autoRedefine/>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autoRedefine/>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autoRedefine/>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autoRedefine/>
    <w:semiHidden/>
    <w:qFormat/>
    <w:uiPriority w:val="99"/>
    <w:rPr>
      <w:rFonts w:hAnsi="Courier New" w:cs="Courier New" w:asciiTheme="minorEastAsia"/>
    </w:rPr>
  </w:style>
  <w:style w:type="character" w:customStyle="1" w:styleId="162">
    <w:name w:val="批注文字 Char2"/>
    <w:basedOn w:val="39"/>
    <w:link w:val="16"/>
    <w:autoRedefine/>
    <w:semiHidden/>
    <w:qFormat/>
    <w:uiPriority w:val="99"/>
  </w:style>
  <w:style w:type="character" w:customStyle="1" w:styleId="163">
    <w:name w:val="批注主题 字符2"/>
    <w:basedOn w:val="162"/>
    <w:autoRedefine/>
    <w:semiHidden/>
    <w:qFormat/>
    <w:uiPriority w:val="99"/>
    <w:rPr>
      <w:b/>
      <w:bCs/>
    </w:rPr>
  </w:style>
  <w:style w:type="character" w:customStyle="1" w:styleId="164">
    <w:name w:val="标题 字符3"/>
    <w:basedOn w:val="39"/>
    <w:autoRedefine/>
    <w:qFormat/>
    <w:uiPriority w:val="10"/>
    <w:rPr>
      <w:rFonts w:asciiTheme="majorHAnsi" w:hAnsiTheme="majorHAnsi" w:eastAsiaTheme="majorEastAsia" w:cstheme="majorBidi"/>
      <w:b/>
      <w:bCs/>
      <w:sz w:val="32"/>
      <w:szCs w:val="32"/>
    </w:rPr>
  </w:style>
  <w:style w:type="character" w:customStyle="1" w:styleId="165">
    <w:name w:val="正文文本缩进 字符3"/>
    <w:basedOn w:val="39"/>
    <w:autoRedefine/>
    <w:semiHidden/>
    <w:qFormat/>
    <w:uiPriority w:val="99"/>
  </w:style>
  <w:style w:type="character" w:customStyle="1" w:styleId="166">
    <w:name w:val="正文文本 字符4"/>
    <w:basedOn w:val="39"/>
    <w:autoRedefine/>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autoRedefine/>
    <w:semiHidden/>
    <w:qFormat/>
    <w:uiPriority w:val="99"/>
    <w:rPr>
      <w:sz w:val="18"/>
      <w:szCs w:val="18"/>
    </w:rPr>
  </w:style>
  <w:style w:type="character" w:customStyle="1" w:styleId="169">
    <w:name w:val="批注框文本 字符2"/>
    <w:basedOn w:val="39"/>
    <w:autoRedefine/>
    <w:semiHidden/>
    <w:qFormat/>
    <w:uiPriority w:val="99"/>
    <w:rPr>
      <w:sz w:val="18"/>
      <w:szCs w:val="18"/>
    </w:rPr>
  </w:style>
  <w:style w:type="character" w:customStyle="1" w:styleId="170">
    <w:name w:val="HTML 预设格式 字符2"/>
    <w:basedOn w:val="39"/>
    <w:autoRedefine/>
    <w:semiHidden/>
    <w:qFormat/>
    <w:uiPriority w:val="99"/>
    <w:rPr>
      <w:rFonts w:ascii="Courier New" w:hAnsi="Courier New" w:cs="Courier New"/>
      <w:sz w:val="20"/>
      <w:szCs w:val="20"/>
    </w:rPr>
  </w:style>
  <w:style w:type="character" w:customStyle="1" w:styleId="171">
    <w:name w:val="页脚 字符2"/>
    <w:basedOn w:val="39"/>
    <w:autoRedefine/>
    <w:semiHidden/>
    <w:qFormat/>
    <w:uiPriority w:val="99"/>
    <w:rPr>
      <w:sz w:val="18"/>
      <w:szCs w:val="18"/>
    </w:rPr>
  </w:style>
  <w:style w:type="character" w:customStyle="1" w:styleId="172">
    <w:name w:val="正文文本缩进 2 字符2"/>
    <w:basedOn w:val="39"/>
    <w:autoRedefine/>
    <w:semiHidden/>
    <w:qFormat/>
    <w:uiPriority w:val="99"/>
  </w:style>
  <w:style w:type="character" w:customStyle="1" w:styleId="173">
    <w:name w:val="正文文本 3 字符2"/>
    <w:basedOn w:val="39"/>
    <w:autoRedefine/>
    <w:semiHidden/>
    <w:qFormat/>
    <w:uiPriority w:val="99"/>
    <w:rPr>
      <w:sz w:val="16"/>
      <w:szCs w:val="16"/>
    </w:rPr>
  </w:style>
  <w:style w:type="character" w:customStyle="1" w:styleId="174">
    <w:name w:val="正文文本 2 字符2"/>
    <w:basedOn w:val="39"/>
    <w:autoRedefine/>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autoRedefine/>
    <w:semiHidden/>
    <w:qFormat/>
    <w:uiPriority w:val="99"/>
  </w:style>
  <w:style w:type="paragraph" w:customStyle="1" w:styleId="17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autoRedefine/>
    <w:qFormat/>
    <w:uiPriority w:val="0"/>
    <w:pPr>
      <w:widowControl/>
    </w:pPr>
    <w:rPr>
      <w:rFonts w:ascii="Times New Roman" w:hAnsi="Calibri" w:eastAsia="宋体" w:cs="Times New Roman"/>
      <w:kern w:val="0"/>
      <w:szCs w:val="20"/>
    </w:rPr>
  </w:style>
  <w:style w:type="paragraph" w:customStyle="1" w:styleId="18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autoRedefine/>
    <w:qFormat/>
    <w:uiPriority w:val="0"/>
    <w:rPr>
      <w:rFonts w:ascii="Calibri" w:hAnsi="Calibri" w:eastAsia="宋体" w:cs="Times New Roman"/>
      <w:lang w:val="en-US" w:eastAsia="zh-CN" w:bidi="ar-SA"/>
    </w:rPr>
  </w:style>
  <w:style w:type="paragraph" w:customStyle="1" w:styleId="191">
    <w:name w:val="_Style 69"/>
    <w:basedOn w:val="1"/>
    <w:next w:val="128"/>
    <w:autoRedefine/>
    <w:qFormat/>
    <w:uiPriority w:val="34"/>
    <w:pPr>
      <w:spacing w:line="360" w:lineRule="auto"/>
      <w:ind w:firstLine="420" w:firstLineChars="200"/>
    </w:pPr>
    <w:rPr>
      <w:rFonts w:ascii="Calibri" w:hAnsi="Calibri" w:eastAsia="宋体" w:cs="Times New Roman"/>
    </w:rPr>
  </w:style>
  <w:style w:type="paragraph" w:customStyle="1" w:styleId="19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autoRedefine/>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21651</Words>
  <Characters>22790</Characters>
  <Lines>314</Lines>
  <Paragraphs>88</Paragraphs>
  <TotalTime>4</TotalTime>
  <ScaleCrop>false</ScaleCrop>
  <LinksUpToDate>false</LinksUpToDate>
  <CharactersWithSpaces>23314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dcterms:modified xsi:type="dcterms:W3CDTF">2025-03-13T02:44:33Z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3505CE01F4BB4D709591DB6CA94F5885_13</vt:lpwstr>
  </property>
  <property fmtid="{D5CDD505-2E9C-101B-9397-08002B2CF9AE}" pid="4" name="KSOTemplateDocerSaveRecord">
    <vt:lpwstr>eyJoZGlkIjoiMzhlNDRmOTNkZWRhM2UxYjQ4MjE4OTRiMGYwZDk4ZDgifQ==</vt:lpwstr>
  </property>
</Properties>
</file>